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2AF71247" wp14:textId="77777777">
      <w:pPr>
        <w:pStyle w:val="Heading1"/>
      </w:pPr>
      <w:r>
        <w:t>Technologie-update 2026: Hoe de conclusies van de Ventilus-Intendant (2022) zijn achterhaald</w:t>
      </w:r>
    </w:p>
    <w:p xmlns:wp14="http://schemas.microsoft.com/office/word/2010/wordml" w14:paraId="2536E7B7" wp14:textId="77777777">
      <w:pPr>
        <w:pStyle w:val="Heading2"/>
      </w:pPr>
      <w:r>
        <w:t>Referentiedocument</w:t>
      </w:r>
    </w:p>
    <w:p xmlns:wp14="http://schemas.microsoft.com/office/word/2010/wordml" w14:paraId="0EE68E25" wp14:textId="77777777">
      <w:r>
        <w:rPr>
          <w:b/>
        </w:rPr>
        <w:t>Eindrapport Ventilus-Intendant</w:t>
      </w:r>
      <w:r>
        <w:t xml:space="preserve"> (28 februari 2022), opgesteld door Guy Vloebergh in opdracht van minister Zuhal Demir en de Vlaamse Regering. Het rapport onderzocht twee opties: doorstart (bovengronds AC) of herstart (ondergronds DC) en concludeerde dat "het bovengrondse Ventilus-project op wisselstroom momenteel de enige oplossing is om op een robuuste en toekomstgerichte wijze de noodzakelijke stappen in de energietransitie te realiseren" (p. 66).</w:t>
      </w:r>
    </w:p>
    <w:p xmlns:wp14="http://schemas.microsoft.com/office/word/2010/wordml" w14:paraId="3F4B5BF2" wp14:textId="77777777">
      <w:pPr>
        <w:pStyle w:val="Heading2"/>
      </w:pPr>
      <w:r>
        <w:t>Doel van dit document</w:t>
      </w:r>
    </w:p>
    <w:p xmlns:wp14="http://schemas.microsoft.com/office/word/2010/wordml" w14:paraId="102D26E2" wp14:textId="77777777">
      <w:r>
        <w:t>Dit document toetst de vijf centrale technologische argumenten van het Intendant-rapport aan de technologische ontwikkelingen van de periode 2022-2026. De conclusie is dat elk van deze argumenten door de feiten is achterhaald of fundamenteel genuanceerd moet worden.</w:t>
      </w:r>
    </w:p>
    <w:p xmlns:wp14="http://schemas.microsoft.com/office/word/2010/wordml" w14:paraId="672A6659" wp14:textId="77777777">
      <w:pPr>
        <w:spacing w:before="240" w:after="240"/>
        <w:pBdr>
          <w:bottom w:val="single" w:color="CCCCCC" w:sz="6" w:space="1"/>
        </w:pBdr>
      </w:pPr>
    </w:p>
    <w:p xmlns:wp14="http://schemas.microsoft.com/office/word/2010/wordml" w14:paraId="20967074" wp14:textId="77777777">
      <w:pPr>
        <w:pStyle w:val="Heading2"/>
      </w:pPr>
      <w:r>
        <w:t>1. "HVDC ondergronds is niet bewezen op deze schaal"</w:t>
      </w:r>
    </w:p>
    <w:p xmlns:wp14="http://schemas.microsoft.com/office/word/2010/wordml" w14:paraId="409104B3" wp14:textId="77777777">
      <w:pPr>
        <w:pStyle w:val="Heading3"/>
      </w:pPr>
      <w:r>
        <w:t>Wat het Intendant-rapport stelde (2022)</w:t>
      </w:r>
    </w:p>
    <w:p xmlns:wp14="http://schemas.microsoft.com/office/word/2010/wordml" w14:paraId="66E224B2" wp14:textId="77777777">
      <w:r>
        <w:t>Het rapport erkende dat een ondergronds HVDC-traject "technisch realiseerbaar" is (p. 66), maar benadrukte dat de technologie niet op de vereiste schaal was toegepast. De conclusie luidde dat "ondergrondse opties voor dergelijke elektriciteitsvolumes niet langer compleet ondenkbaar zijn, alleen niet binnen het beoogde tijdsperspectief" (p. 66).</w:t>
      </w:r>
    </w:p>
    <w:p xmlns:wp14="http://schemas.microsoft.com/office/word/2010/wordml" w14:paraId="62380064" wp14:textId="77777777">
      <w:pPr>
        <w:pStyle w:val="Heading3"/>
      </w:pPr>
      <w:r>
        <w:t>Ontwikkelingen 2022-2026: Volledig achterhaald</w:t>
      </w:r>
    </w:p>
    <w:p xmlns:wp14="http://schemas.microsoft.com/office/word/2010/wordml" w14:paraId="64D34FDF" wp14:textId="77777777">
      <w:r>
        <w:t xml:space="preserve">Duitsland bouwt op dit moment </w:t>
      </w:r>
      <w:r>
        <w:rPr>
          <w:b/>
        </w:rPr>
        <w:t>meer dan 1.500 kilometer ondergrondse 525 kV HVDC-kabels</w:t>
      </w:r>
      <w:r>
        <w:t xml:space="preserve"> in vier grote corridors. Deze projecten gebruiken exact dezelfde technologie (±525 kV XLPE-kabels, VSC-HVDC-convertors) die voor Ventilus als "niet bewezen" werd afgewezen:</w:t>
      </w:r>
    </w:p>
    <w:tbl>
      <w:tblPr>
        <w:tblStyle w:val="TableGrid"/>
        <w:tblW w:w="0" w:type="auto"/>
        <w:jc w:val="left"/>
        <w:tblLook w:val="04A0" w:firstRow="1" w:lastRow="0" w:firstColumn="1" w:lastColumn="0" w:noHBand="0" w:noVBand="1"/>
      </w:tblPr>
      <w:tblGrid>
        <w:gridCol w:w="1568"/>
        <w:gridCol w:w="1568"/>
        <w:gridCol w:w="1568"/>
        <w:gridCol w:w="1568"/>
        <w:gridCol w:w="1568"/>
        <w:gridCol w:w="1568"/>
      </w:tblGrid>
      <w:tr xmlns:wp14="http://schemas.microsoft.com/office/word/2010/wordml" w14:paraId="041F0BF7" wp14:textId="77777777">
        <w:tc>
          <w:tcPr>
            <w:tcW w:w="1568" w:type="dxa"/>
            <w:shd w:fill="1F3864" w:themeFill="accent1" w:themeFillShade="80"/>
          </w:tcPr>
          <w:p w14:paraId="3A9C41CD" wp14:textId="77777777">
            <w:pPr>
              <w:spacing w:before="40" w:after="40"/>
            </w:pPr>
            <w:r>
              <w:rPr>
                <w:b/>
                <w:color w:val="FFFFFF"/>
                <w:sz w:val="19"/>
              </w:rPr>
            </w:r>
            <w:r>
              <w:rPr>
                <w:b/>
                <w:color w:val="FFFFFF"/>
                <w:sz w:val="19"/>
              </w:rPr>
              <w:t>Project</w:t>
            </w:r>
          </w:p>
        </w:tc>
        <w:tc>
          <w:tcPr>
            <w:tcW w:w="1568" w:type="dxa"/>
            <w:shd w:fill="1F3864" w:themeFill="accent1" w:themeFillShade="80"/>
          </w:tcPr>
          <w:p w14:paraId="25833555" wp14:textId="77777777">
            <w:pPr>
              <w:spacing w:before="40" w:after="40"/>
            </w:pPr>
            <w:r>
              <w:rPr>
                <w:b/>
                <w:color w:val="FFFFFF"/>
                <w:sz w:val="19"/>
              </w:rPr>
            </w:r>
            <w:r>
              <w:rPr>
                <w:b/>
                <w:color w:val="FFFFFF"/>
                <w:sz w:val="19"/>
              </w:rPr>
              <w:t>Lengte</w:t>
            </w:r>
          </w:p>
        </w:tc>
        <w:tc>
          <w:tcPr>
            <w:tcW w:w="1568" w:type="dxa"/>
            <w:shd w:fill="1F3864" w:themeFill="accent1" w:themeFillShade="80"/>
          </w:tcPr>
          <w:p w14:paraId="5462D9AB" wp14:textId="77777777">
            <w:pPr>
              <w:spacing w:before="40" w:after="40"/>
            </w:pPr>
            <w:r>
              <w:rPr>
                <w:b/>
                <w:color w:val="FFFFFF"/>
                <w:sz w:val="19"/>
              </w:rPr>
            </w:r>
            <w:r>
              <w:rPr>
                <w:b/>
                <w:color w:val="FFFFFF"/>
                <w:sz w:val="19"/>
              </w:rPr>
              <w:t>Vermogen</w:t>
            </w:r>
          </w:p>
        </w:tc>
        <w:tc>
          <w:tcPr>
            <w:tcW w:w="1568" w:type="dxa"/>
            <w:shd w:fill="1F3864" w:themeFill="accent1" w:themeFillShade="80"/>
          </w:tcPr>
          <w:p w14:paraId="1163BB0C" wp14:textId="77777777">
            <w:pPr>
              <w:spacing w:before="40" w:after="40"/>
            </w:pPr>
            <w:r>
              <w:rPr>
                <w:b/>
                <w:color w:val="FFFFFF"/>
                <w:sz w:val="19"/>
              </w:rPr>
            </w:r>
            <w:r>
              <w:rPr>
                <w:b/>
                <w:color w:val="FFFFFF"/>
                <w:sz w:val="19"/>
              </w:rPr>
              <w:t>Spanning</w:t>
            </w:r>
          </w:p>
        </w:tc>
        <w:tc>
          <w:tcPr>
            <w:tcW w:w="1568" w:type="dxa"/>
            <w:shd w:fill="1F3864" w:themeFill="accent1" w:themeFillShade="80"/>
          </w:tcPr>
          <w:p w14:paraId="7A0E8766" wp14:textId="77777777">
            <w:pPr>
              <w:spacing w:before="40" w:after="40"/>
            </w:pPr>
            <w:r>
              <w:rPr>
                <w:b/>
                <w:color w:val="FFFFFF"/>
                <w:sz w:val="19"/>
              </w:rPr>
            </w:r>
            <w:r>
              <w:rPr>
                <w:b/>
                <w:color w:val="FFFFFF"/>
                <w:sz w:val="19"/>
              </w:rPr>
              <w:t>Fabrikant</w:t>
            </w:r>
          </w:p>
        </w:tc>
        <w:tc>
          <w:tcPr>
            <w:tcW w:w="1568" w:type="dxa"/>
            <w:shd w:fill="1F3864" w:themeFill="accent1" w:themeFillShade="80"/>
          </w:tcPr>
          <w:p w14:paraId="6DE48280" wp14:textId="77777777">
            <w:pPr>
              <w:spacing w:before="40" w:after="40"/>
            </w:pPr>
            <w:r>
              <w:rPr>
                <w:b/>
                <w:color w:val="FFFFFF"/>
                <w:sz w:val="19"/>
              </w:rPr>
            </w:r>
            <w:r>
              <w:rPr>
                <w:b/>
                <w:color w:val="FFFFFF"/>
                <w:sz w:val="19"/>
              </w:rPr>
              <w:t>Status (feb 2026)</w:t>
            </w:r>
          </w:p>
        </w:tc>
      </w:tr>
      <w:tr xmlns:wp14="http://schemas.microsoft.com/office/word/2010/wordml" w14:paraId="38C897D2" wp14:textId="77777777">
        <w:tc>
          <w:tcPr>
            <w:tcW w:w="1568" w:type="dxa"/>
            <w:shd w:fill="F2F6FC"/>
          </w:tcPr>
          <w:p w14:paraId="3B199403" wp14:textId="77777777">
            <w:pPr>
              <w:spacing w:before="40" w:after="40"/>
            </w:pPr>
            <w:r>
              <w:rPr>
                <w:sz w:val="19"/>
              </w:rPr>
            </w:r>
            <w:r>
              <w:rPr>
                <w:b/>
                <w:sz w:val="19"/>
              </w:rPr>
              <w:t>SuedLink</w:t>
            </w:r>
          </w:p>
        </w:tc>
        <w:tc>
          <w:tcPr>
            <w:tcW w:w="1568" w:type="dxa"/>
            <w:shd w:fill="F2F6FC"/>
          </w:tcPr>
          <w:p w14:paraId="67046E78" wp14:textId="77777777">
            <w:pPr>
              <w:spacing w:before="40" w:after="40"/>
            </w:pPr>
            <w:r>
              <w:rPr>
                <w:sz w:val="19"/>
              </w:rPr>
            </w:r>
            <w:r>
              <w:rPr>
                <w:sz w:val="19"/>
              </w:rPr>
              <w:t>700 km</w:t>
            </w:r>
          </w:p>
        </w:tc>
        <w:tc>
          <w:tcPr>
            <w:tcW w:w="1568" w:type="dxa"/>
            <w:shd w:fill="F2F6FC"/>
          </w:tcPr>
          <w:p w14:paraId="022209E1" wp14:textId="77777777">
            <w:pPr>
              <w:spacing w:before="40" w:after="40"/>
            </w:pPr>
            <w:r>
              <w:rPr>
                <w:sz w:val="19"/>
              </w:rPr>
            </w:r>
            <w:r>
              <w:rPr>
                <w:sz w:val="19"/>
              </w:rPr>
              <w:t>2 x 2 GW</w:t>
            </w:r>
          </w:p>
        </w:tc>
        <w:tc>
          <w:tcPr>
            <w:tcW w:w="1568" w:type="dxa"/>
            <w:shd w:fill="F2F6FC"/>
          </w:tcPr>
          <w:p w14:paraId="5C76DAA3" wp14:textId="77777777">
            <w:pPr>
              <w:spacing w:before="40" w:after="40"/>
            </w:pPr>
            <w:r>
              <w:rPr>
                <w:sz w:val="19"/>
              </w:rPr>
            </w:r>
            <w:r>
              <w:rPr>
                <w:sz w:val="19"/>
              </w:rPr>
              <w:t>±525 kV</w:t>
            </w:r>
          </w:p>
        </w:tc>
        <w:tc>
          <w:tcPr>
            <w:tcW w:w="1568" w:type="dxa"/>
            <w:shd w:fill="F2F6FC"/>
          </w:tcPr>
          <w:p w14:paraId="22E18158" wp14:textId="77777777">
            <w:pPr>
              <w:spacing w:before="40" w:after="40"/>
            </w:pPr>
            <w:r>
              <w:rPr>
                <w:sz w:val="19"/>
              </w:rPr>
            </w:r>
            <w:r>
              <w:rPr>
                <w:sz w:val="19"/>
              </w:rPr>
              <w:t>Prysmian</w:t>
            </w:r>
          </w:p>
        </w:tc>
        <w:tc>
          <w:tcPr>
            <w:tcW w:w="1568" w:type="dxa"/>
            <w:shd w:fill="F2F6FC"/>
          </w:tcPr>
          <w:p w14:paraId="30D9D55F" wp14:textId="77777777">
            <w:pPr>
              <w:spacing w:before="40" w:after="40"/>
            </w:pPr>
            <w:r>
              <w:rPr>
                <w:sz w:val="19"/>
              </w:rPr>
            </w:r>
            <w:r>
              <w:rPr>
                <w:sz w:val="19"/>
              </w:rPr>
              <w:t>335 km kabel geleverd, installatie bezig, oplevering 2026</w:t>
            </w:r>
          </w:p>
        </w:tc>
      </w:tr>
      <w:tr xmlns:wp14="http://schemas.microsoft.com/office/word/2010/wordml" w14:paraId="264D9592" wp14:textId="77777777">
        <w:tc>
          <w:tcPr>
            <w:tcW w:w="1568" w:type="dxa"/>
          </w:tcPr>
          <w:p w14:paraId="4B5C0405" wp14:textId="77777777">
            <w:pPr>
              <w:spacing w:before="40" w:after="40"/>
            </w:pPr>
            <w:r>
              <w:rPr>
                <w:sz w:val="19"/>
              </w:rPr>
            </w:r>
            <w:r>
              <w:rPr>
                <w:b/>
                <w:sz w:val="19"/>
              </w:rPr>
              <w:t>SuedOstLink</w:t>
            </w:r>
          </w:p>
        </w:tc>
        <w:tc>
          <w:tcPr>
            <w:tcW w:w="1568" w:type="dxa"/>
          </w:tcPr>
          <w:p w14:paraId="71E299AA" wp14:textId="77777777">
            <w:pPr>
              <w:spacing w:before="40" w:after="40"/>
            </w:pPr>
            <w:r>
              <w:rPr>
                <w:sz w:val="19"/>
              </w:rPr>
            </w:r>
            <w:r>
              <w:rPr>
                <w:sz w:val="19"/>
              </w:rPr>
              <w:t>270 km</w:t>
            </w:r>
          </w:p>
        </w:tc>
        <w:tc>
          <w:tcPr>
            <w:tcW w:w="1568" w:type="dxa"/>
          </w:tcPr>
          <w:p w14:paraId="3454CEF3" wp14:textId="77777777">
            <w:pPr>
              <w:spacing w:before="40" w:after="40"/>
            </w:pPr>
            <w:r>
              <w:rPr>
                <w:sz w:val="19"/>
              </w:rPr>
            </w:r>
            <w:r>
              <w:rPr>
                <w:sz w:val="19"/>
              </w:rPr>
              <w:t>2 GW</w:t>
            </w:r>
          </w:p>
        </w:tc>
        <w:tc>
          <w:tcPr>
            <w:tcW w:w="1568" w:type="dxa"/>
          </w:tcPr>
          <w:p w14:paraId="1ACFEA99" wp14:textId="77777777">
            <w:pPr>
              <w:spacing w:before="40" w:after="40"/>
            </w:pPr>
            <w:r>
              <w:rPr>
                <w:sz w:val="19"/>
              </w:rPr>
            </w:r>
            <w:r>
              <w:rPr>
                <w:sz w:val="19"/>
              </w:rPr>
              <w:t>±525 kV</w:t>
            </w:r>
          </w:p>
        </w:tc>
        <w:tc>
          <w:tcPr>
            <w:tcW w:w="1568" w:type="dxa"/>
          </w:tcPr>
          <w:p w14:paraId="6DC79CF1" wp14:textId="77777777">
            <w:pPr>
              <w:spacing w:before="40" w:after="40"/>
            </w:pPr>
            <w:r>
              <w:rPr>
                <w:sz w:val="19"/>
              </w:rPr>
            </w:r>
            <w:r>
              <w:rPr>
                <w:sz w:val="19"/>
              </w:rPr>
              <w:t>Prysmian (P-Laser)</w:t>
            </w:r>
          </w:p>
        </w:tc>
        <w:tc>
          <w:tcPr>
            <w:tcW w:w="1568" w:type="dxa"/>
          </w:tcPr>
          <w:p w14:paraId="7A6F8F48" wp14:textId="77777777">
            <w:pPr>
              <w:spacing w:before="40" w:after="40"/>
            </w:pPr>
            <w:r>
              <w:rPr>
                <w:sz w:val="19"/>
              </w:rPr>
            </w:r>
            <w:r>
              <w:rPr>
                <w:sz w:val="19"/>
              </w:rPr>
              <w:t>Kabelproductie voltooid, installatie bezig, oplevering 2027</w:t>
            </w:r>
          </w:p>
        </w:tc>
      </w:tr>
      <w:tr xmlns:wp14="http://schemas.microsoft.com/office/word/2010/wordml" w14:paraId="7154ED5A" wp14:textId="77777777">
        <w:tc>
          <w:tcPr>
            <w:tcW w:w="1568" w:type="dxa"/>
            <w:shd w:fill="F2F6FC"/>
          </w:tcPr>
          <w:p w14:paraId="3648BFCA" wp14:textId="77777777">
            <w:pPr>
              <w:spacing w:before="40" w:after="40"/>
            </w:pPr>
            <w:r>
              <w:rPr>
                <w:sz w:val="19"/>
              </w:rPr>
            </w:r>
            <w:r>
              <w:rPr>
                <w:b/>
                <w:sz w:val="19"/>
              </w:rPr>
              <w:t>A-Nord</w:t>
            </w:r>
          </w:p>
        </w:tc>
        <w:tc>
          <w:tcPr>
            <w:tcW w:w="1568" w:type="dxa"/>
            <w:shd w:fill="F2F6FC"/>
          </w:tcPr>
          <w:p w14:paraId="6077316A" wp14:textId="77777777">
            <w:pPr>
              <w:spacing w:before="40" w:after="40"/>
            </w:pPr>
            <w:r>
              <w:rPr>
                <w:sz w:val="19"/>
              </w:rPr>
            </w:r>
            <w:r>
              <w:rPr>
                <w:sz w:val="19"/>
              </w:rPr>
              <w:t>300 km</w:t>
            </w:r>
          </w:p>
        </w:tc>
        <w:tc>
          <w:tcPr>
            <w:tcW w:w="1568" w:type="dxa"/>
            <w:shd w:fill="F2F6FC"/>
          </w:tcPr>
          <w:p w14:paraId="7B4BA884" wp14:textId="77777777">
            <w:pPr>
              <w:spacing w:before="40" w:after="40"/>
            </w:pPr>
            <w:r>
              <w:rPr>
                <w:sz w:val="19"/>
              </w:rPr>
            </w:r>
            <w:r>
              <w:rPr>
                <w:sz w:val="19"/>
              </w:rPr>
              <w:t>1 GW</w:t>
            </w:r>
          </w:p>
        </w:tc>
        <w:tc>
          <w:tcPr>
            <w:tcW w:w="1568" w:type="dxa"/>
            <w:shd w:fill="F2F6FC"/>
          </w:tcPr>
          <w:p w14:paraId="673B080C" wp14:textId="77777777">
            <w:pPr>
              <w:spacing w:before="40" w:after="40"/>
            </w:pPr>
            <w:r>
              <w:rPr>
                <w:sz w:val="19"/>
              </w:rPr>
            </w:r>
            <w:r>
              <w:rPr>
                <w:sz w:val="19"/>
              </w:rPr>
              <w:t>±525 kV</w:t>
            </w:r>
          </w:p>
        </w:tc>
        <w:tc>
          <w:tcPr>
            <w:tcW w:w="1568" w:type="dxa"/>
            <w:shd w:fill="F2F6FC"/>
          </w:tcPr>
          <w:p w14:paraId="0BB5B262" wp14:textId="77777777">
            <w:pPr>
              <w:spacing w:before="40" w:after="40"/>
            </w:pPr>
            <w:r>
              <w:rPr>
                <w:sz w:val="19"/>
              </w:rPr>
            </w:r>
            <w:r>
              <w:rPr>
                <w:sz w:val="19"/>
              </w:rPr>
              <w:t>Sumitomo Electric</w:t>
            </w:r>
          </w:p>
        </w:tc>
        <w:tc>
          <w:tcPr>
            <w:tcW w:w="1568" w:type="dxa"/>
            <w:shd w:fill="F2F6FC"/>
          </w:tcPr>
          <w:p w14:paraId="25FD5CCB" wp14:textId="77777777">
            <w:pPr>
              <w:spacing w:before="40" w:after="40"/>
            </w:pPr>
            <w:r>
              <w:rPr>
                <w:sz w:val="19"/>
              </w:rPr>
            </w:r>
            <w:r>
              <w:rPr>
                <w:sz w:val="19"/>
              </w:rPr>
              <w:t>Kabelinstallatie gestart juni 2025, oplevering 2027</w:t>
            </w:r>
          </w:p>
        </w:tc>
      </w:tr>
      <w:tr xmlns:wp14="http://schemas.microsoft.com/office/word/2010/wordml" w14:paraId="4B37C320" wp14:textId="77777777">
        <w:tc>
          <w:tcPr>
            <w:tcW w:w="1568" w:type="dxa"/>
          </w:tcPr>
          <w:p w14:paraId="040B2448" wp14:textId="77777777">
            <w:pPr>
              <w:spacing w:before="40" w:after="40"/>
            </w:pPr>
            <w:r>
              <w:rPr>
                <w:sz w:val="19"/>
              </w:rPr>
            </w:r>
            <w:r>
              <w:rPr>
                <w:b/>
                <w:sz w:val="19"/>
              </w:rPr>
              <w:t>Ultranet</w:t>
            </w:r>
          </w:p>
        </w:tc>
        <w:tc>
          <w:tcPr>
            <w:tcW w:w="1568" w:type="dxa"/>
          </w:tcPr>
          <w:p w14:paraId="4A5D465A" wp14:textId="77777777">
            <w:pPr>
              <w:spacing w:before="40" w:after="40"/>
            </w:pPr>
            <w:r>
              <w:rPr>
                <w:sz w:val="19"/>
              </w:rPr>
            </w:r>
            <w:r>
              <w:rPr>
                <w:sz w:val="19"/>
              </w:rPr>
              <w:t>340 km</w:t>
            </w:r>
          </w:p>
        </w:tc>
        <w:tc>
          <w:tcPr>
            <w:tcW w:w="1568" w:type="dxa"/>
          </w:tcPr>
          <w:p w14:paraId="47D0CF34" wp14:textId="77777777">
            <w:pPr>
              <w:spacing w:before="40" w:after="40"/>
            </w:pPr>
            <w:r>
              <w:rPr>
                <w:sz w:val="19"/>
              </w:rPr>
            </w:r>
            <w:r>
              <w:rPr>
                <w:sz w:val="19"/>
              </w:rPr>
              <w:t>2 GW</w:t>
            </w:r>
          </w:p>
        </w:tc>
        <w:tc>
          <w:tcPr>
            <w:tcW w:w="1568" w:type="dxa"/>
          </w:tcPr>
          <w:p w14:paraId="44D7F8A5" wp14:textId="77777777">
            <w:pPr>
              <w:spacing w:before="40" w:after="40"/>
            </w:pPr>
            <w:r>
              <w:rPr>
                <w:sz w:val="19"/>
              </w:rPr>
            </w:r>
            <w:r>
              <w:rPr>
                <w:sz w:val="19"/>
              </w:rPr>
              <w:t>±380 kV</w:t>
            </w:r>
          </w:p>
        </w:tc>
        <w:tc>
          <w:tcPr>
            <w:tcW w:w="1568" w:type="dxa"/>
          </w:tcPr>
          <w:p w14:paraId="775E0883" wp14:textId="77777777">
            <w:pPr>
              <w:spacing w:before="40" w:after="40"/>
            </w:pPr>
            <w:r>
              <w:rPr>
                <w:sz w:val="19"/>
              </w:rPr>
            </w:r>
            <w:r>
              <w:rPr>
                <w:sz w:val="19"/>
              </w:rPr>
              <w:t>diverse</w:t>
            </w:r>
          </w:p>
        </w:tc>
        <w:tc>
          <w:tcPr>
            <w:tcW w:w="1568" w:type="dxa"/>
          </w:tcPr>
          <w:p w14:paraId="4E1F0DE2" wp14:textId="77777777">
            <w:pPr>
              <w:spacing w:before="40" w:after="40"/>
            </w:pPr>
            <w:r>
              <w:rPr>
                <w:sz w:val="19"/>
              </w:rPr>
            </w:r>
            <w:r>
              <w:rPr>
                <w:sz w:val="19"/>
              </w:rPr>
              <w:t>In voorbereiding</w:t>
            </w:r>
          </w:p>
        </w:tc>
      </w:tr>
    </w:tbl>
    <w:p xmlns:wp14="http://schemas.microsoft.com/office/word/2010/wordml" w14:paraId="0A37501D" wp14:textId="77777777"/>
    <w:p xmlns:wp14="http://schemas.microsoft.com/office/word/2010/wordml" w14:paraId="551D4A9F" wp14:textId="77777777">
      <w:r>
        <w:rPr>
          <w:b/>
        </w:rPr>
        <w:t>Totaal: &gt;1.500 km ondergrondse HVDC-kabel in aanbouw of voorbereiding in Duitsland alleen.</w:t>
      </w:r>
    </w:p>
    <w:p xmlns:wp14="http://schemas.microsoft.com/office/word/2010/wordml" w14:paraId="7C096713" wp14:textId="77777777">
      <w:r>
        <w:t xml:space="preserve">De Bundesnetzagentur (Duits equivalent van VREG/CREG) verklaarde in januari 2026: </w:t>
      </w:r>
      <w:r>
        <w:rPr>
          <w:i/>
        </w:rPr>
        <w:t>"Energy transition clears crucial hurdle — significant progress in electricity grid expansion in 2025"</w:t>
      </w:r>
      <w:r>
        <w:t xml:space="preserve"> — alle vergunningsprocedures voor de vier grote HVDC-corridors zijn afgerond.</w:t>
      </w:r>
    </w:p>
    <w:p xmlns:wp14="http://schemas.microsoft.com/office/word/2010/wordml" w14:paraId="0094C50B" wp14:textId="77777777">
      <w:r>
        <w:rPr>
          <w:b/>
        </w:rPr>
        <w:t>Bronnen:</w:t>
      </w:r>
    </w:p>
    <w:p xmlns:wp14="http://schemas.microsoft.com/office/word/2010/wordml" w14:paraId="4BF78CF7" wp14:textId="77777777">
      <w:pPr>
        <w:pStyle w:val="ListBullet"/>
        <w:spacing w:after="60"/>
        <w:ind w:left="720"/>
      </w:pPr>
      <w:r>
        <w:t>Bundesnetzagentur, persbericht 02/01/2026: "Significant progress in electricity grid expansion"</w:t>
      </w:r>
    </w:p>
    <w:p xmlns:wp14="http://schemas.microsoft.com/office/word/2010/wordml" w14:paraId="1B176935" wp14:textId="77777777">
      <w:pPr>
        <w:pStyle w:val="ListBullet"/>
        <w:spacing w:after="60"/>
        <w:ind w:left="720"/>
      </w:pPr>
      <w:r>
        <w:t>Sumitomo Electric, persbericht 01/07/2025: "Kicks Off Installation of 525 kV DC Underground Cable for A-Nord"</w:t>
      </w:r>
    </w:p>
    <w:p xmlns:wp14="http://schemas.microsoft.com/office/word/2010/wordml" w14:paraId="24EFBBED" wp14:textId="77777777">
      <w:pPr>
        <w:pStyle w:val="ListBullet"/>
        <w:spacing w:after="60"/>
        <w:ind w:left="720"/>
      </w:pPr>
      <w:r>
        <w:t>Prysmian Group, projectpagina: "German HVDC cable projects: at the core of the European Energy Transition"</w:t>
      </w:r>
    </w:p>
    <w:p xmlns:wp14="http://schemas.microsoft.com/office/word/2010/wordml" w14:paraId="20806551" wp14:textId="77777777">
      <w:pPr>
        <w:pStyle w:val="ListBullet"/>
        <w:spacing w:after="60"/>
        <w:ind w:left="720"/>
      </w:pPr>
      <w:r>
        <w:t>NKT, projectpagina: "Corridor projects, Germany"</w:t>
      </w:r>
    </w:p>
    <w:p xmlns:wp14="http://schemas.microsoft.com/office/word/2010/wordml" w14:paraId="495114E4" wp14:textId="77777777">
      <w:pPr>
        <w:pStyle w:val="ListBullet"/>
        <w:spacing w:after="60"/>
        <w:ind w:left="720"/>
      </w:pPr>
      <w:r>
        <w:t>50Hertz, projectpagina: "SuedOstLink"</w:t>
      </w:r>
    </w:p>
    <w:p xmlns:wp14="http://schemas.microsoft.com/office/word/2010/wordml" w14:paraId="732B552C" wp14:textId="77777777">
      <w:pPr>
        <w:pStyle w:val="Heading3"/>
      </w:pPr>
      <w:r>
        <w:t>Relevantie voor Ventilus</w:t>
      </w:r>
    </w:p>
    <w:p xmlns:wp14="http://schemas.microsoft.com/office/word/2010/wordml" w14:paraId="14869A7B" wp14:textId="77777777">
      <w:r>
        <w:t xml:space="preserve">De Ventilus-verbinding betreft ~82 km transmissielijn met een vermogen van 2 x 3 GW. Ter vergelijking: SuedLink is 700 km lang met 2 x 2 GW. De schaal van Ventilus is dus </w:t>
      </w:r>
      <w:r>
        <w:rPr>
          <w:b/>
        </w:rPr>
        <w:t>kleiner</w:t>
      </w:r>
      <w:r>
        <w:t xml:space="preserve"> dan wat in Duitsland al wordt gerealiseerd. Het argument dat HVDC ondergronds "niet bewezen" is op de schaal van Ventilus, is in 2026 feitelijk onhoudbaar: &gt;1.500 km in aanbouw op dezelfde spanning en met dezelfde kabeltechnologie is geen projectie meer, maar industriële realiteit.</w:t>
      </w:r>
    </w:p>
    <w:p xmlns:wp14="http://schemas.microsoft.com/office/word/2010/wordml" w14:paraId="5DAB6C7B" wp14:textId="77777777">
      <w:pPr>
        <w:spacing w:before="240" w:after="240"/>
        <w:pBdr>
          <w:bottom w:val="single" w:color="CCCCCC" w:sz="6" w:space="1"/>
        </w:pBdr>
      </w:pPr>
    </w:p>
    <w:p xmlns:wp14="http://schemas.microsoft.com/office/word/2010/wordml" w14:paraId="5647FDCC" wp14:textId="77777777">
      <w:pPr>
        <w:pStyle w:val="Heading2"/>
      </w:pPr>
      <w:r>
        <w:t>2. "Geen vermazing (meshing) mogelijk met DC — minder robuust"</w:t>
      </w:r>
    </w:p>
    <w:p xmlns:wp14="http://schemas.microsoft.com/office/word/2010/wordml" w14:paraId="4DA10110" wp14:textId="77777777">
      <w:pPr>
        <w:pStyle w:val="Heading3"/>
      </w:pPr>
      <w:r>
        <w:t>Wat het Intendant-rapport stelde (2022)</w:t>
      </w:r>
    </w:p>
    <w:p xmlns:wp14="http://schemas.microsoft.com/office/word/2010/wordml" w14:paraId="408DF4C9" wp14:textId="77777777">
      <w:r>
        <w:t>Het rapport stelde dat "de specifieke topologie van het huidige West-Vlaamse elektriciteitsnet niet toelaat de Stevin-as te vermazen door middel van gelijkstroom, aangezien dit niet in de vereiste betrouwbaarheid resulteert" (p. 57). Dit was het kernargument: AC biedt vermazing en dus robuustheid, DC niet.</w:t>
      </w:r>
    </w:p>
    <w:p xmlns:wp14="http://schemas.microsoft.com/office/word/2010/wordml" w14:paraId="046E1595" wp14:textId="77777777">
      <w:pPr>
        <w:pStyle w:val="Heading3"/>
      </w:pPr>
      <w:r>
        <w:t>Ontwikkelingen 2022-2026: Het argument is te absoluut, maar niet volledig weerlegd</w:t>
      </w:r>
    </w:p>
    <w:p xmlns:wp14="http://schemas.microsoft.com/office/word/2010/wordml" w14:paraId="3185BF8D" wp14:textId="77777777">
      <w:r>
        <w:t>De technologie voor multi-terminal HVDC-netwerken (de DC-equivalent van vermazing) heeft tussen 2022 en 2026 aanzienlijke vooruitgang geboekt. De stelling dat "DC niet kan vermazen" is te absoluut, maar het eerlijke beeld vereist een nuance: grootschalige multi-terminal HVDC-netten zijn in 2026 nog niet commercieel operationeel op het niveau van een volledig vermaasd transmissienet. Duitsland bouwt corridors (punt-naar-punt met toekomstige uitbreidbaarheid), geen volledig meshed DC-grid.</w:t>
      </w:r>
    </w:p>
    <w:p xmlns:wp14="http://schemas.microsoft.com/office/word/2010/wordml" w14:paraId="71A5E26B" wp14:textId="77777777">
      <w:r>
        <w:rPr>
          <w:b/>
        </w:rPr>
        <w:t>(a) Multi-terminal HVDC-hubs in Duitsland</w:t>
      </w:r>
    </w:p>
    <w:p xmlns:wp14="http://schemas.microsoft.com/office/word/2010/wordml" w14:paraId="43E5030F" wp14:textId="77777777">
      <w:r>
        <w:t xml:space="preserve">Drie grote HVDC-technologieleveranciers — </w:t>
      </w:r>
      <w:r>
        <w:rPr>
          <w:b/>
        </w:rPr>
        <w:t>GE Vernova, Siemens Energy en Hitachi Energy</w:t>
      </w:r>
      <w:r>
        <w:t xml:space="preserve"> — werken samen met vier Duitse transmissienetbeheerders (TenneT, 50Hertz, Amprion, TransnetBW) aan de ontwikkeling van </w:t>
      </w:r>
      <w:r>
        <w:rPr>
          <w:b/>
        </w:rPr>
        <w:t>multi-terminal HVDC-hubs</w:t>
      </w:r>
      <w:r>
        <w:t xml:space="preserve"> met gelijkstroomvermogensschakelaars (DC circuit breakers). Deze hubs verbinden offshore HVDC-windexportlijnen rechtstreeks met onshore HVDC-corridors — precies het type vermazing dat in 2022 als onmogelijk werd bestempeld.</w:t>
      </w:r>
    </w:p>
    <w:p xmlns:wp14="http://schemas.microsoft.com/office/word/2010/wordml" w14:paraId="452F644B" wp14:textId="77777777">
      <w:r>
        <w:rPr>
          <w:b/>
        </w:rPr>
        <w:t>(b) InterOPERA-project (EU Horizon Europe)</w:t>
      </w:r>
    </w:p>
    <w:p xmlns:wp14="http://schemas.microsoft.com/office/word/2010/wordml" w14:paraId="5979BEDA" wp14:textId="77777777">
      <w:r>
        <w:t xml:space="preserve">Het InterOPERA-project, gecoordineerd door SuperGrid Institute, publiceerde in december 2025 de gedetailleerde functionele specificaties voor een </w:t>
      </w:r>
      <w:r>
        <w:rPr>
          <w:b/>
        </w:rPr>
        <w:t>multi-vendor, multi-terminal HVDC-demonstrator</w:t>
      </w:r>
      <w:r>
        <w:t>. Het project betrekt alle grote HVDC-leveranciers en heeft als doel "real-life applications anticipated by 2030." De specificaties omvatten:</w:t>
      </w:r>
    </w:p>
    <w:p xmlns:wp14="http://schemas.microsoft.com/office/word/2010/wordml" w14:paraId="69267BFC" wp14:textId="77777777">
      <w:pPr>
        <w:pStyle w:val="ListBullet"/>
        <w:spacing w:after="60"/>
        <w:ind w:left="720"/>
      </w:pPr>
      <w:r>
        <w:t>Gestandaardiseerde interfaces tussen convertors van verschillende leveranciers</w:t>
      </w:r>
    </w:p>
    <w:p xmlns:wp14="http://schemas.microsoft.com/office/word/2010/wordml" w14:paraId="4E19FBEE" wp14:textId="77777777">
      <w:pPr>
        <w:pStyle w:val="ListBullet"/>
        <w:spacing w:after="60"/>
        <w:ind w:left="720"/>
      </w:pPr>
      <w:r>
        <w:t>Functionele vereisten voor HVDC-vermogensschakelaars</w:t>
      </w:r>
    </w:p>
    <w:p xmlns:wp14="http://schemas.microsoft.com/office/word/2010/wordml" w14:paraId="396878A1" wp14:textId="77777777">
      <w:pPr>
        <w:pStyle w:val="ListBullet"/>
        <w:spacing w:after="60"/>
        <w:ind w:left="720"/>
      </w:pPr>
      <w:r>
        <w:t>Protocollen voor multi-terminal bedrijfsvoering</w:t>
      </w:r>
    </w:p>
    <w:p xmlns:wp14="http://schemas.microsoft.com/office/word/2010/wordml" w14:paraId="447D0049" wp14:textId="77777777">
      <w:r>
        <w:rPr>
          <w:b/>
        </w:rPr>
        <w:t>(c) HVDC circuit breakers</w:t>
      </w:r>
    </w:p>
    <w:p xmlns:wp14="http://schemas.microsoft.com/office/word/2010/wordml" w14:paraId="284EF68D" wp14:textId="77777777">
      <w:r>
        <w:t>De sleuteltechnologie voor DC-vermazing is de HVDC-vermogensschakelaar (DC circuit breaker), die bij een fout selectief een lijn kan isoleren zonder het hele DC-netwerk uit te schakelen. In 2022 bestond deze technologie alleen als prototype. In 2025-2026:</w:t>
      </w:r>
    </w:p>
    <w:p xmlns:wp14="http://schemas.microsoft.com/office/word/2010/wordml" w14:paraId="4A512AF2" wp14:textId="77777777">
      <w:pPr>
        <w:pStyle w:val="ListBullet"/>
        <w:spacing w:after="60"/>
        <w:ind w:left="720"/>
      </w:pPr>
      <w:r>
        <w:rPr>
          <w:b/>
        </w:rPr>
        <w:t>Siemens Energy en Mitsubishi Electric</w:t>
      </w:r>
      <w:r>
        <w:t xml:space="preserve"> tekenden een gezamenlijk ontwikkelingscontract voor HVDC-breakers, met operationele beschikbaarheid verwacht in 2027-2028</w:t>
      </w:r>
    </w:p>
    <w:p xmlns:wp14="http://schemas.microsoft.com/office/word/2010/wordml" w14:paraId="1E8454C4" wp14:textId="77777777">
      <w:pPr>
        <w:pStyle w:val="ListBullet"/>
        <w:spacing w:after="60"/>
        <w:ind w:left="720"/>
      </w:pPr>
      <w:r>
        <w:t>ABB, GE Vernova en Hitachi Energy werken aan concurrerende ontwerpen</w:t>
      </w:r>
    </w:p>
    <w:p xmlns:wp14="http://schemas.microsoft.com/office/word/2010/wordml" w14:paraId="112244D8" wp14:textId="77777777">
      <w:pPr>
        <w:pStyle w:val="ListBullet"/>
        <w:spacing w:after="60"/>
        <w:ind w:left="720"/>
      </w:pPr>
      <w:r>
        <w:t>SuperGrid Institute ontwikkelt frequentie-afhankelijke DC-modellen voor multi-terminal netwerken</w:t>
      </w:r>
    </w:p>
    <w:p xmlns:wp14="http://schemas.microsoft.com/office/word/2010/wordml" w14:paraId="0CEB2DC9" wp14:textId="77777777">
      <w:r>
        <w:rPr>
          <w:b/>
        </w:rPr>
        <w:t>(d) Grid-forming controle</w:t>
      </w:r>
    </w:p>
    <w:p xmlns:wp14="http://schemas.microsoft.com/office/word/2010/wordml" w14:paraId="3F75F44B" wp14:textId="77777777">
      <w:r>
        <w:t xml:space="preserve">Een studie gepubliceerd in </w:t>
      </w:r>
      <w:r>
        <w:rPr>
          <w:i/>
        </w:rPr>
        <w:t>Nature Scientific Reports</w:t>
      </w:r>
      <w:r>
        <w:t xml:space="preserve"> (2025) toonde aan dat </w:t>
      </w:r>
      <w:r>
        <w:rPr>
          <w:b/>
        </w:rPr>
        <w:t>grid-forming (GFM) controlestrategieen voor multi-terminal HVDC-systemen superieur presteren</w:t>
      </w:r>
      <w:r>
        <w:t xml:space="preserve"> aan grid-following strategieen op het vlak van foutweerstand en netstabiliteit. Dit weerlegt de stelling uit het Intendant-rapport dat DC-systemen inherent minder stabiel zijn dan AC.</w:t>
      </w:r>
    </w:p>
    <w:p xmlns:wp14="http://schemas.microsoft.com/office/word/2010/wordml" w14:paraId="1FDBC688" wp14:textId="77777777">
      <w:r>
        <w:rPr>
          <w:b/>
        </w:rPr>
        <w:t>Bronnen:</w:t>
      </w:r>
    </w:p>
    <w:p xmlns:wp14="http://schemas.microsoft.com/office/word/2010/wordml" w14:paraId="1B9D7B14" wp14:textId="77777777">
      <w:pPr>
        <w:pStyle w:val="ListBullet"/>
        <w:spacing w:after="60"/>
        <w:ind w:left="720"/>
      </w:pPr>
      <w:r>
        <w:t>PowerMag: "Industry Giants, German TSOs Team to Revolutionize HVDC Grid With Multi-Terminal Hubs"</w:t>
      </w:r>
    </w:p>
    <w:p xmlns:wp14="http://schemas.microsoft.com/office/word/2010/wordml" w14:paraId="3F601ED2" wp14:textId="77777777">
      <w:pPr>
        <w:pStyle w:val="ListBullet"/>
        <w:spacing w:after="60"/>
        <w:ind w:left="720"/>
      </w:pPr>
      <w:r>
        <w:t>SuperGrid Institute, 09/12/2025: "InterOPERA specifications for multi-vendor multi-terminal HVDC demonstrator"</w:t>
      </w:r>
    </w:p>
    <w:p xmlns:wp14="http://schemas.microsoft.com/office/word/2010/wordml" w14:paraId="48C9B77A" wp14:textId="77777777">
      <w:pPr>
        <w:pStyle w:val="ListBullet"/>
        <w:spacing w:after="60"/>
        <w:ind w:left="720"/>
      </w:pPr>
      <w:r>
        <w:t>SuperGrid Institute, 05/12/2025: "Development of frequency-dependant DC models for multi-terminal DC grids"</w:t>
      </w:r>
    </w:p>
    <w:p xmlns:wp14="http://schemas.microsoft.com/office/word/2010/wordml" w14:paraId="15D29F49" wp14:textId="77777777">
      <w:pPr>
        <w:pStyle w:val="ListBullet"/>
        <w:spacing w:after="60"/>
        <w:ind w:left="720"/>
      </w:pPr>
      <w:r>
        <w:t>Nature Scientific Reports (2025): "Enhancing stability in renewable energy transmission using multi-terminal HVDC systems with grid-forming controls"</w:t>
      </w:r>
    </w:p>
    <w:p xmlns:wp14="http://schemas.microsoft.com/office/word/2010/wordml" w14:paraId="1F69D7BC" wp14:textId="77777777">
      <w:pPr>
        <w:pStyle w:val="ListBullet"/>
        <w:spacing w:after="60"/>
        <w:ind w:left="720"/>
      </w:pPr>
      <w:r>
        <w:t>DNV: "What can we expect next for HVDC?" (2023)</w:t>
      </w:r>
    </w:p>
    <w:p xmlns:wp14="http://schemas.microsoft.com/office/word/2010/wordml" w14:paraId="43FEA871" wp14:textId="77777777">
      <w:pPr>
        <w:pStyle w:val="ListBullet"/>
        <w:spacing w:after="60"/>
        <w:ind w:left="720"/>
      </w:pPr>
      <w:r>
        <w:t>MDPI Energies 17(10): "Getting Ready for Multi-Vendor and Multi-Terminal HVDC Technology" (2024)</w:t>
      </w:r>
    </w:p>
    <w:p xmlns:wp14="http://schemas.microsoft.com/office/word/2010/wordml" w14:paraId="172C8563" wp14:textId="77777777">
      <w:pPr>
        <w:pStyle w:val="Heading3"/>
      </w:pPr>
      <w:r>
        <w:t>Relevantie voor Ventilus</w:t>
      </w:r>
    </w:p>
    <w:p xmlns:wp14="http://schemas.microsoft.com/office/word/2010/wordml" w14:paraId="54ED2CE3" wp14:textId="77777777">
      <w:r>
        <w:t>Het vermazingsargument was in 2022 het sterkste technische argument voor AC en behoudt in 2026 nog steeds relevantie. De absolute formulering — dat DC-vermazing niet kan resulteren in de vereiste betrouwbaarheid — is echter niet langer verdedigbaar. Multi-terminal HVDC is een actief ontwikkelingsdomein met concrete industriële samenwerking en demonstratieprojecten, met commerciële beschikbaarheid verwacht rond 2030. Aangezien Ventilus nog niet is vergund (25 annulatieverzoeken bij de Raad van State), rijst de vraag of de huidige technologie-evaluatie niet minstens geactualiseerd moet worden voordat een definitieve technologiekeuze wordt vastgelegd.</w:t>
      </w:r>
    </w:p>
    <w:p xmlns:wp14="http://schemas.microsoft.com/office/word/2010/wordml" w14:paraId="02EB378F" wp14:textId="77777777">
      <w:pPr>
        <w:spacing w:before="240" w:after="240"/>
        <w:pBdr>
          <w:bottom w:val="single" w:color="CCCCCC" w:sz="6" w:space="1"/>
        </w:pBdr>
      </w:pPr>
    </w:p>
    <w:p xmlns:wp14="http://schemas.microsoft.com/office/word/2010/wordml" w14:paraId="2F5B6566" wp14:textId="77777777">
      <w:pPr>
        <w:pStyle w:val="Heading2"/>
      </w:pPr>
      <w:r>
        <w:t>3. "DC is veel duurder"</w:t>
      </w:r>
    </w:p>
    <w:p xmlns:wp14="http://schemas.microsoft.com/office/word/2010/wordml" w14:paraId="11674199" wp14:textId="77777777">
      <w:pPr>
        <w:pStyle w:val="Heading3"/>
      </w:pPr>
      <w:r>
        <w:t>Wat het Intendant-rapport stelde (2022)</w:t>
      </w:r>
    </w:p>
    <w:p xmlns:wp14="http://schemas.microsoft.com/office/word/2010/wordml" w14:paraId="2ED9C12E" wp14:textId="77777777">
      <w:r>
        <w:t>Het rapport was opvallend vaag over kosten: "Kostprijs is in het proces van de intendant geen aspect of criterium geweest waarover gediscussieerd is" (p. 62). Desondanks werd gesteld dat "een HVDC-optie zeker duurder zal worden" (p. 56).</w:t>
      </w:r>
    </w:p>
    <w:p xmlns:wp14="http://schemas.microsoft.com/office/word/2010/wordml" w14:paraId="5863807E" wp14:textId="77777777">
      <w:pPr>
        <w:pStyle w:val="Heading3"/>
      </w:pPr>
      <w:r>
        <w:t>Ontwikkelingen 2022-2026: De maatschappelijke totaalkost is nooit doorgerekend</w:t>
      </w:r>
    </w:p>
    <w:p xmlns:wp14="http://schemas.microsoft.com/office/word/2010/wordml" w14:paraId="17536402" wp14:textId="77777777">
      <w:r>
        <w:t>Het sterkste punt is niet dat DC goedkoper zou zijn — maar dat de maatschappelijke totaalkost van het bovengrondse AC-alternatief nooit integraal is doorgerekend. Dat is een krachtig bestuursrechtelijk argument.</w:t>
      </w:r>
    </w:p>
    <w:p xmlns:wp14="http://schemas.microsoft.com/office/word/2010/wordml" w14:paraId="7DE2753B" wp14:textId="77777777">
      <w:r>
        <w:rPr>
          <w:b/>
        </w:rPr>
        <w:t>(a) Duitsland investeert miljarden in ondergrondse HVDC</w:t>
      </w:r>
    </w:p>
    <w:p xmlns:wp14="http://schemas.microsoft.com/office/word/2010/wordml" w14:paraId="087CAAE1" wp14:textId="77777777">
      <w:r>
        <w:t xml:space="preserve">Als HVDC werkelijk onbetaalbaar was, zou Duitsland — de grootste economie van Europa — niet meer dan 1.500 km ondergrondse HVDC-kabels bouwen. In 2015 wijzigde Duitsland de wet (BBPlG §3): </w:t>
      </w:r>
      <w:r>
        <w:rPr>
          <w:b/>
        </w:rPr>
        <w:t>HVDC-kabels worden standaard ondergronds aangelegd</w:t>
      </w:r>
      <w:r>
        <w:t xml:space="preserve">; bovengrondse aanleg is alleen bij uitzondering toegestaan. Deze wetswijziging kwam er juist omdat de kosten van maatschappelijke weerstand — decennia vertraging, juridische procedures, schadeclaims, politieke onhaalbaarheid — hoger bleken dan de meerkosten van ondergrondse kabels. Het feit dat deze integrale maatschappelijke kostenanalyse voor Ventilus </w:t>
      </w:r>
      <w:r>
        <w:rPr>
          <w:b/>
        </w:rPr>
        <w:t>nooit is uitgevoerd</w:t>
      </w:r>
      <w:r>
        <w:t>, is een ernstige lacune in de besluitvorming.</w:t>
      </w:r>
    </w:p>
    <w:p xmlns:wp14="http://schemas.microsoft.com/office/word/2010/wordml" w14:paraId="03FAF4E5" wp14:textId="77777777">
      <w:r>
        <w:rPr>
          <w:b/>
        </w:rPr>
        <w:t>(b) De kabelindustrie investeert massaal</w:t>
      </w:r>
    </w:p>
    <w:p xmlns:wp14="http://schemas.microsoft.com/office/word/2010/wordml" w14:paraId="266746F0" wp14:textId="77777777">
      <w:r>
        <w:t>De markt voor HVDC-kabels wordt geschat op &gt;USD 14 miljard (2024) met een verwachte groei van 16% per jaar. De investeringen van kabelfabrikanten bevestigen de economische haalbaarheid:</w:t>
      </w:r>
    </w:p>
    <w:p xmlns:wp14="http://schemas.microsoft.com/office/word/2010/wordml" w14:paraId="76242BEE" wp14:textId="77777777">
      <w:pPr>
        <w:pStyle w:val="ListBullet"/>
        <w:spacing w:after="60"/>
        <w:ind w:left="720"/>
      </w:pPr>
      <w:r>
        <w:rPr>
          <w:b/>
        </w:rPr>
        <w:t>Prysmian Group:</w:t>
      </w:r>
      <w:r>
        <w:t xml:space="preserve"> EUR 5+ miljard aan contracten voor Duitse corridors, ontwikkeling van P-Laser (100% recycleerbaar)</w:t>
      </w:r>
    </w:p>
    <w:p xmlns:wp14="http://schemas.microsoft.com/office/word/2010/wordml" w14:paraId="6D5B26A5" wp14:textId="77777777">
      <w:pPr>
        <w:pStyle w:val="ListBullet"/>
        <w:spacing w:after="60"/>
        <w:ind w:left="720"/>
      </w:pPr>
      <w:r>
        <w:rPr>
          <w:b/>
        </w:rPr>
        <w:t>NKT:</w:t>
      </w:r>
      <w:r>
        <w:t xml:space="preserve"> Fabriek in Karlskrona erkend als eerste EU Net-Zero strategisch project; nieuwe milieuvriendelijke kabels met 8-10% minder energieverlies</w:t>
      </w:r>
    </w:p>
    <w:p xmlns:wp14="http://schemas.microsoft.com/office/word/2010/wordml" w14:paraId="50CF9BF1" wp14:textId="77777777">
      <w:pPr>
        <w:pStyle w:val="ListBullet"/>
        <w:spacing w:after="60"/>
        <w:ind w:left="720"/>
      </w:pPr>
      <w:r>
        <w:rPr>
          <w:b/>
        </w:rPr>
        <w:t>Nexans:</w:t>
      </w:r>
      <w:r>
        <w:t xml:space="preserve"> SF6-vrije 525 kV kabelaansluitingen (maart 2024)</w:t>
      </w:r>
    </w:p>
    <w:p xmlns:wp14="http://schemas.microsoft.com/office/word/2010/wordml" w14:paraId="4721D947" wp14:textId="77777777">
      <w:pPr>
        <w:pStyle w:val="ListBullet"/>
        <w:spacing w:after="60"/>
        <w:ind w:left="720"/>
      </w:pPr>
      <w:r>
        <w:rPr>
          <w:b/>
        </w:rPr>
        <w:t>Sumitomo Electric:</w:t>
      </w:r>
      <w:r>
        <w:t xml:space="preserve"> EUR 500+ miljoen contract voor A-Nord</w:t>
      </w:r>
    </w:p>
    <w:p xmlns:wp14="http://schemas.microsoft.com/office/word/2010/wordml" w14:paraId="1D5A9761" wp14:textId="77777777">
      <w:r>
        <w:rPr>
          <w:b/>
        </w:rPr>
        <w:t>(c) De kosten van Ventilus bovengronds</w:t>
      </w:r>
    </w:p>
    <w:p xmlns:wp14="http://schemas.microsoft.com/office/word/2010/wordml" w14:paraId="378E5058" wp14:textId="77777777">
      <w:r>
        <w:t>Het Intendant-rapport raamde Ventilus op EUR 300-500 miljoen (p. 56). Maar de werkelijke kosten omvatten ook:</w:t>
      </w:r>
    </w:p>
    <w:p xmlns:wp14="http://schemas.microsoft.com/office/word/2010/wordml" w14:paraId="62E4B7B7" wp14:textId="77777777">
      <w:pPr>
        <w:pStyle w:val="ListBullet"/>
        <w:spacing w:after="60"/>
        <w:ind w:left="720"/>
      </w:pPr>
      <w:r>
        <w:t>25 annulatieverzoeken bij de Raad van State (juridische kosten)</w:t>
      </w:r>
    </w:p>
    <w:p xmlns:wp14="http://schemas.microsoft.com/office/word/2010/wordml" w14:paraId="456D0C14" wp14:textId="77777777">
      <w:pPr>
        <w:pStyle w:val="ListBullet"/>
        <w:spacing w:after="60"/>
        <w:ind w:left="720"/>
      </w:pPr>
      <w:r>
        <w:t>2.514 bezwaarschriften (administratieve kosten)</w:t>
      </w:r>
    </w:p>
    <w:p xmlns:wp14="http://schemas.microsoft.com/office/word/2010/wordml" w14:paraId="2F3F1B23" wp14:textId="77777777">
      <w:pPr>
        <w:pStyle w:val="ListBullet"/>
        <w:spacing w:after="60"/>
        <w:ind w:left="720"/>
      </w:pPr>
      <w:r>
        <w:t>Waardevermindering van honderden woningen (niet geraamd)</w:t>
      </w:r>
    </w:p>
    <w:p xmlns:wp14="http://schemas.microsoft.com/office/word/2010/wordml" w14:paraId="56994DE2" wp14:textId="77777777">
      <w:pPr>
        <w:pStyle w:val="ListBullet"/>
        <w:spacing w:after="60"/>
        <w:ind w:left="720"/>
      </w:pPr>
      <w:r>
        <w:t>Compensatie- en aankoopbeleid Elia (woningen in 0,4 uT-contour)</w:t>
      </w:r>
    </w:p>
    <w:p xmlns:wp14="http://schemas.microsoft.com/office/word/2010/wordml" w14:paraId="0A2D0C50" wp14:textId="77777777">
      <w:pPr>
        <w:pStyle w:val="ListBullet"/>
        <w:spacing w:after="60"/>
        <w:ind w:left="720"/>
      </w:pPr>
      <w:r>
        <w:t>Reputatieschade en politieke kosten (12 van 14 gemeenten adviseren ongunstig)</w:t>
      </w:r>
    </w:p>
    <w:p xmlns:wp14="http://schemas.microsoft.com/office/word/2010/wordml" w14:paraId="4CF009ED" wp14:textId="77777777">
      <w:pPr>
        <w:pStyle w:val="ListBullet"/>
        <w:spacing w:after="60"/>
        <w:ind w:left="720"/>
      </w:pPr>
      <w:r>
        <w:t>Vertraging: het project loopt al meer dan 7 jaar minstens vertraging op</w:t>
      </w:r>
    </w:p>
    <w:p xmlns:wp14="http://schemas.microsoft.com/office/word/2010/wordml" w14:paraId="6A65E667" wp14:textId="77777777">
      <w:r>
        <w:t>Deze maatschappelijke kosten zijn nooit in de vergelijking meegenomen.</w:t>
      </w:r>
    </w:p>
    <w:p xmlns:wp14="http://schemas.microsoft.com/office/word/2010/wordml" w14:paraId="5B018EC7" wp14:textId="77777777">
      <w:r>
        <w:rPr>
          <w:b/>
        </w:rPr>
        <w:t>(d) Kostenexplosie Prinses Elisabeth Eiland</w:t>
      </w:r>
    </w:p>
    <w:p xmlns:wp14="http://schemas.microsoft.com/office/word/2010/wordml" w14:paraId="0065B247" wp14:textId="77777777">
      <w:r>
        <w:t>Het Prinses Elisabeth Eiland (PEI), dat oorspronkelijk gekoppeld was aan Ventilus, is van EUR 2,12 miljard (raming 2021) gestegen naar EUR 7-8 miljard. Elia onderzoekt inmiddels alternatieve concepten. De schrapping of herziening van het PEI bespaart naar schatting EUR 3 miljard — wat de urgentie en de kostenargumentatie voor het huidige Ventilus-concept fundamenteel ondermijnt.</w:t>
      </w:r>
    </w:p>
    <w:p xmlns:wp14="http://schemas.microsoft.com/office/word/2010/wordml" w14:paraId="4E0A2157" wp14:textId="77777777">
      <w:r>
        <w:rPr>
          <w:b/>
        </w:rPr>
        <w:t>Bronnen:</w:t>
      </w:r>
    </w:p>
    <w:p xmlns:wp14="http://schemas.microsoft.com/office/word/2010/wordml" w14:paraId="2FA5C48B" wp14:textId="77777777">
      <w:pPr>
        <w:pStyle w:val="ListBullet"/>
        <w:spacing w:after="60"/>
        <w:ind w:left="720"/>
      </w:pPr>
      <w:r>
        <w:t>Prysmian Group: projectpagina's Duitse HVDC-corridors</w:t>
      </w:r>
    </w:p>
    <w:p xmlns:wp14="http://schemas.microsoft.com/office/word/2010/wordml" w14:paraId="1EF0DCAB" wp14:textId="77777777">
      <w:pPr>
        <w:pStyle w:val="ListBullet"/>
        <w:spacing w:after="60"/>
        <w:ind w:left="720"/>
      </w:pPr>
      <w:r>
        <w:t>NKT: "Corridor projects, Germany"</w:t>
      </w:r>
    </w:p>
    <w:p xmlns:wp14="http://schemas.microsoft.com/office/word/2010/wordml" w14:paraId="6FA5AF2E" wp14:textId="77777777">
      <w:pPr>
        <w:pStyle w:val="ListBullet"/>
        <w:spacing w:after="60"/>
        <w:ind w:left="720"/>
      </w:pPr>
      <w:r>
        <w:t>Sumitomo Electric: persbericht 01/07/2025</w:t>
      </w:r>
    </w:p>
    <w:p xmlns:wp14="http://schemas.microsoft.com/office/word/2010/wordml" w14:paraId="1E61054E" wp14:textId="77777777">
      <w:pPr>
        <w:pStyle w:val="ListBullet"/>
        <w:spacing w:after="60"/>
        <w:ind w:left="720"/>
      </w:pPr>
      <w:r>
        <w:t>BBPlG §3 (Bundesbedarfsplangesetz): wettekst</w:t>
      </w:r>
    </w:p>
    <w:p xmlns:wp14="http://schemas.microsoft.com/office/word/2010/wordml" w14:paraId="618121E8" wp14:textId="77777777">
      <w:pPr>
        <w:pStyle w:val="ListBullet"/>
        <w:spacing w:after="60"/>
        <w:ind w:left="720"/>
      </w:pPr>
      <w:r>
        <w:t>VRT NWS, 06/06/2025: berichtgeving PEI kostenexplosie</w:t>
      </w:r>
    </w:p>
    <w:p xmlns:wp14="http://schemas.microsoft.com/office/word/2010/wordml" w14:paraId="4DDC22D6" wp14:textId="77777777">
      <w:pPr>
        <w:pStyle w:val="ListBullet"/>
        <w:spacing w:after="60"/>
        <w:ind w:left="720"/>
      </w:pPr>
      <w:r>
        <w:t>Elia, persbericht 04/02/2025: alternatieve concepten PEI</w:t>
      </w:r>
    </w:p>
    <w:p xmlns:wp14="http://schemas.microsoft.com/office/word/2010/wordml" w14:paraId="6A05A809" wp14:textId="77777777">
      <w:pPr>
        <w:spacing w:before="240" w:after="240"/>
        <w:pBdr>
          <w:bottom w:val="single" w:color="CCCCCC" w:sz="6" w:space="1"/>
        </w:pBdr>
      </w:pPr>
    </w:p>
    <w:p xmlns:wp14="http://schemas.microsoft.com/office/word/2010/wordml" w14:paraId="0EB0B54C" wp14:textId="77777777">
      <w:pPr>
        <w:pStyle w:val="Heading2"/>
      </w:pPr>
      <w:r>
        <w:t>4. "DC heeft intrinsiek lagere beschikbaarheid"</w:t>
      </w:r>
    </w:p>
    <w:p xmlns:wp14="http://schemas.microsoft.com/office/word/2010/wordml" w14:paraId="7F0DF9A8" wp14:textId="77777777">
      <w:pPr>
        <w:pStyle w:val="Heading3"/>
      </w:pPr>
      <w:r>
        <w:t>Wat het Intendant-rapport stelde (2022)</w:t>
      </w:r>
    </w:p>
    <w:p xmlns:wp14="http://schemas.microsoft.com/office/word/2010/wordml" w14:paraId="23CADA70" wp14:textId="77777777">
      <w:r>
        <w:t>"Gelijkstroomverbindingen hebben intrinsiek een lagere beschikbaarheid dan wisselstroom. De installatie bestaat uit duizenden componenten en vraagt dus enerzijds intensiever onderhoud en is anderzijds ook gevoeliger voor uitval" (p. 57).</w:t>
      </w:r>
    </w:p>
    <w:p xmlns:wp14="http://schemas.microsoft.com/office/word/2010/wordml" w14:paraId="12F9B5FD" wp14:textId="77777777">
      <w:pPr>
        <w:pStyle w:val="Heading3"/>
      </w:pPr>
      <w:r>
        <w:t>Ontwikkelingen 2022-2026: Weerlegd door Elia's eigen project</w:t>
      </w:r>
    </w:p>
    <w:p xmlns:wp14="http://schemas.microsoft.com/office/word/2010/wordml" w14:paraId="3A489D69" wp14:textId="77777777">
      <w:r>
        <w:rPr>
          <w:b/>
        </w:rPr>
        <w:t>(a) ALEGrO: Elia's eigen HVDC-succes</w:t>
      </w:r>
    </w:p>
    <w:p xmlns:wp14="http://schemas.microsoft.com/office/word/2010/wordml" w14:paraId="01F5F088" wp14:textId="77777777">
      <w:r>
        <w:t>ALEGrO is de eerste HVDC-interconnector tussen Belgie en Duitsland, gebouwd en beheerd door Elia (Belgische zijde) en Amprion (Duitse zijde). Het project werd in november 2020 in dienst genomen:</w:t>
      </w:r>
    </w:p>
    <w:p xmlns:wp14="http://schemas.microsoft.com/office/word/2010/wordml" w14:paraId="5F52F725" wp14:textId="77777777">
      <w:pPr>
        <w:pStyle w:val="ListBullet"/>
        <w:spacing w:after="60"/>
        <w:ind w:left="720"/>
      </w:pPr>
      <w:r>
        <w:rPr>
          <w:b/>
        </w:rPr>
        <w:t>Capaciteit:</w:t>
      </w:r>
      <w:r>
        <w:t xml:space="preserve"> 1.000 MW (1 GW)</w:t>
      </w:r>
    </w:p>
    <w:p xmlns:wp14="http://schemas.microsoft.com/office/word/2010/wordml" w14:paraId="4F4A9DDA" wp14:textId="77777777">
      <w:pPr>
        <w:pStyle w:val="ListBullet"/>
        <w:spacing w:after="60"/>
        <w:ind w:left="720"/>
      </w:pPr>
      <w:r>
        <w:rPr>
          <w:b/>
        </w:rPr>
        <w:t>Lengte:</w:t>
      </w:r>
      <w:r>
        <w:t xml:space="preserve"> 90 km ondergronds</w:t>
      </w:r>
    </w:p>
    <w:p xmlns:wp14="http://schemas.microsoft.com/office/word/2010/wordml" w14:paraId="2F8790D9" wp14:textId="77777777">
      <w:pPr>
        <w:pStyle w:val="ListBullet"/>
        <w:spacing w:after="60"/>
        <w:ind w:left="720"/>
      </w:pPr>
      <w:r>
        <w:rPr>
          <w:b/>
        </w:rPr>
        <w:t>Technologie:</w:t>
      </w:r>
      <w:r>
        <w:t xml:space="preserve"> VSC-HVDC (Siemens Energy)</w:t>
      </w:r>
    </w:p>
    <w:p xmlns:wp14="http://schemas.microsoft.com/office/word/2010/wordml" w14:paraId="6B38E7D8" wp14:textId="77777777">
      <w:pPr>
        <w:pStyle w:val="ListBullet"/>
        <w:spacing w:after="60"/>
        <w:ind w:left="720"/>
      </w:pPr>
      <w:r>
        <w:rPr>
          <w:b/>
        </w:rPr>
        <w:t>Beschikbaarheid eerste jaar:</w:t>
      </w:r>
      <w:r>
        <w:t xml:space="preserve"> 93%</w:t>
      </w:r>
    </w:p>
    <w:p xmlns:wp14="http://schemas.microsoft.com/office/word/2010/wordml" w14:paraId="53002FF8" wp14:textId="77777777">
      <w:pPr>
        <w:pStyle w:val="ListBullet"/>
        <w:spacing w:after="60"/>
        <w:ind w:left="720"/>
      </w:pPr>
      <w:r>
        <w:rPr>
          <w:b/>
        </w:rPr>
        <w:t>Uitgewisselde energie eerste jaar:</w:t>
      </w:r>
      <w:r>
        <w:t xml:space="preserve"> 4,5 TWh</w:t>
      </w:r>
    </w:p>
    <w:p xmlns:wp14="http://schemas.microsoft.com/office/word/2010/wordml" w14:paraId="1394365B" wp14:textId="77777777">
      <w:pPr>
        <w:pStyle w:val="ListBullet"/>
        <w:spacing w:after="60"/>
        <w:ind w:left="720"/>
      </w:pPr>
      <w:r>
        <w:rPr>
          <w:b/>
        </w:rPr>
        <w:t>Innovatie:</w:t>
      </w:r>
      <w:r>
        <w:t xml:space="preserve"> In 2023 werd de eerste autonome inspectie-robot ingezet in het HVDC-converterstation</w:t>
      </w:r>
    </w:p>
    <w:p xmlns:wp14="http://schemas.microsoft.com/office/word/2010/wordml" w14:paraId="28D9C05F" wp14:textId="77777777">
      <w:r>
        <w:t>Een beschikbaarheid van 93% in het eerste operationele jaar is vergelijkbaar met of beter dan typische bovengrondse AC-transmissielijnen. De bewering dat HVDC "intrinsiek" minder beschikbaar is, wordt door Elia's eigen operationele ervaring weerlegd.</w:t>
      </w:r>
    </w:p>
    <w:p xmlns:wp14="http://schemas.microsoft.com/office/word/2010/wordml" w14:paraId="55FCA4B1" wp14:textId="77777777">
      <w:r>
        <w:rPr>
          <w:b/>
        </w:rPr>
        <w:t>(b) Technologische vooruitgang VSC-HVDC</w:t>
      </w:r>
    </w:p>
    <w:p xmlns:wp14="http://schemas.microsoft.com/office/word/2010/wordml" w14:paraId="4A1AFC72" wp14:textId="77777777">
      <w:r>
        <w:t>De stelling uit het rapport betreft voornamelijk de oudere LCC-HVDC-technologie (Line Commutated Converter). Moderne VSC-HVDC (Voltage Source Converter) systemen — zoals gebruikt in ALEGrO en alle nieuwe Duitse corridors — hebben significant hogere beschikbaarheid door:</w:t>
      </w:r>
    </w:p>
    <w:p xmlns:wp14="http://schemas.microsoft.com/office/word/2010/wordml" w14:paraId="559BF4D4" wp14:textId="77777777">
      <w:pPr>
        <w:pStyle w:val="ListBullet"/>
        <w:spacing w:after="60"/>
        <w:ind w:left="720"/>
      </w:pPr>
      <w:r>
        <w:t>Snellere foutdetectie en -isolatie</w:t>
      </w:r>
    </w:p>
    <w:p xmlns:wp14="http://schemas.microsoft.com/office/word/2010/wordml" w14:paraId="7989E020" wp14:textId="77777777">
      <w:pPr>
        <w:pStyle w:val="ListBullet"/>
        <w:spacing w:after="60"/>
        <w:ind w:left="720"/>
      </w:pPr>
      <w:r>
        <w:t>Onafhankelijke regelcapaciteit (geen behoefte aan sterk AC-net voor commutatie)</w:t>
      </w:r>
    </w:p>
    <w:p xmlns:wp14="http://schemas.microsoft.com/office/word/2010/wordml" w14:paraId="62EF956D" wp14:textId="77777777">
      <w:pPr>
        <w:pStyle w:val="ListBullet"/>
        <w:spacing w:after="60"/>
        <w:ind w:left="720"/>
      </w:pPr>
      <w:r>
        <w:t>Modulaire opbouw (MMC: Modular Multilevel Converter) die gedeeltelijke uitval toelaat</w:t>
      </w:r>
    </w:p>
    <w:p xmlns:wp14="http://schemas.microsoft.com/office/word/2010/wordml" w14:paraId="0B93C8F7" wp14:textId="77777777">
      <w:pPr>
        <w:pStyle w:val="ListBullet"/>
        <w:spacing w:after="60"/>
        <w:ind w:left="720"/>
      </w:pPr>
      <w:r>
        <w:t>Grid-forming capaciteit (het converterstation kan zelf netfrequentie en -spanning handhaven)</w:t>
      </w:r>
    </w:p>
    <w:p xmlns:wp14="http://schemas.microsoft.com/office/word/2010/wordml" w14:paraId="4E2A858E" wp14:textId="77777777">
      <w:r>
        <w:rPr>
          <w:b/>
        </w:rPr>
        <w:t>Bronnen:</w:t>
      </w:r>
    </w:p>
    <w:p xmlns:wp14="http://schemas.microsoft.com/office/word/2010/wordml" w14:paraId="59B2BC91" wp14:textId="77777777">
      <w:pPr>
        <w:pStyle w:val="ListBullet"/>
        <w:spacing w:after="60"/>
        <w:ind w:left="720"/>
      </w:pPr>
      <w:r>
        <w:t>Amprion, persbericht 09/11/2021: "ALEGrO celebrates first anniversary with good results"</w:t>
      </w:r>
    </w:p>
    <w:p xmlns:wp14="http://schemas.microsoft.com/office/word/2010/wordml" w14:paraId="70E8B5EF" wp14:textId="77777777">
      <w:pPr>
        <w:pStyle w:val="ListBullet"/>
        <w:spacing w:after="60"/>
        <w:ind w:left="720"/>
      </w:pPr>
      <w:r>
        <w:t>Elia, persbericht 31/05/2023: "Pioneering autonomous robot used to inspect ALEGrO's HVDC converter station"</w:t>
      </w:r>
    </w:p>
    <w:p xmlns:wp14="http://schemas.microsoft.com/office/word/2010/wordml" w14:paraId="5E28398C" wp14:textId="77777777">
      <w:pPr>
        <w:pStyle w:val="ListBullet"/>
        <w:spacing w:after="60"/>
        <w:ind w:left="720"/>
      </w:pPr>
      <w:r>
        <w:t>Siemens Energy: "HVDC technology for ALEGrO"</w:t>
      </w:r>
    </w:p>
    <w:p xmlns:wp14="http://schemas.microsoft.com/office/word/2010/wordml" w14:paraId="2D383629" wp14:textId="77777777">
      <w:pPr>
        <w:pStyle w:val="Heading3"/>
      </w:pPr>
      <w:r>
        <w:t>Relevantie voor Ventilus</w:t>
      </w:r>
    </w:p>
    <w:p xmlns:wp14="http://schemas.microsoft.com/office/word/2010/wordml" w14:paraId="10C9CF26" wp14:textId="77777777">
      <w:r>
        <w:t>Elia weet uit eigen ervaring met ALEGrO dat VSC-HVDC betrouwbaar functioneert met hoge beschikbaarheid. De bewering in het Intendant-rapport dat HVDC "intrinsiek" minder beschikbaar is, is een generalisatie die door Elia's eigen operationele data wordt weerlegd. Dit is een schoolvoorbeeld van het "Elia tegen Elia"-patroon: de aanvrager beschikt over informatie die de eigen stellingen ondermijnt.</w:t>
      </w:r>
    </w:p>
    <w:p xmlns:wp14="http://schemas.microsoft.com/office/word/2010/wordml" w14:paraId="5A39BBE3" wp14:textId="77777777">
      <w:pPr>
        <w:spacing w:before="240" w:after="240"/>
        <w:pBdr>
          <w:bottom w:val="single" w:color="CCCCCC" w:sz="6" w:space="1"/>
        </w:pBdr>
      </w:pPr>
    </w:p>
    <w:p xmlns:wp14="http://schemas.microsoft.com/office/word/2010/wordml" w14:paraId="3FDBEE0E" wp14:textId="77777777">
      <w:pPr>
        <w:pStyle w:val="Heading2"/>
      </w:pPr>
      <w:r>
        <w:t>5. "Timing: een DC-alternatief is niet realiseerbaar voor &gt;2032"</w:t>
      </w:r>
    </w:p>
    <w:p xmlns:wp14="http://schemas.microsoft.com/office/word/2010/wordml" w14:paraId="28C5D090" wp14:textId="77777777">
      <w:pPr>
        <w:pStyle w:val="Heading3"/>
      </w:pPr>
      <w:r>
        <w:t>Wat het Intendant-rapport stelde (2022)</w:t>
      </w:r>
    </w:p>
    <w:p xmlns:wp14="http://schemas.microsoft.com/office/word/2010/wordml" w14:paraId="22BF5656" wp14:textId="77777777">
      <w:r>
        <w:t>"Met onmiddellijke uitvoering kan de volledige realisatie niet voor &gt;2032" (p. 56). Dit argument werd gebruikt om de urgentie van het bovengronds AC-alternatief te onderbouwen.</w:t>
      </w:r>
    </w:p>
    <w:p xmlns:wp14="http://schemas.microsoft.com/office/word/2010/wordml" w14:paraId="649328CA" wp14:textId="77777777">
      <w:pPr>
        <w:pStyle w:val="Heading3"/>
      </w:pPr>
      <w:r>
        <w:t>Ontwikkelingen 2022-2026: De ironie van de vertraging</w:t>
      </w:r>
    </w:p>
    <w:p xmlns:wp14="http://schemas.microsoft.com/office/word/2010/wordml" w14:paraId="480BAB4A" wp14:textId="77777777">
      <w:r>
        <w:rPr>
          <w:b/>
        </w:rPr>
        <w:t>(a) Ventilus AC is ook niet gerealiseerd</w:t>
      </w:r>
    </w:p>
    <w:p xmlns:wp14="http://schemas.microsoft.com/office/word/2010/wordml" w14:paraId="491FEB36" wp14:textId="77777777">
      <w:r>
        <w:t>Het is februari 2026. Het Ventilus-project in zijn huidige vorm (bovengronds AC) is:</w:t>
      </w:r>
    </w:p>
    <w:p xmlns:wp14="http://schemas.microsoft.com/office/word/2010/wordml" w14:paraId="4DE5C111" wp14:textId="39FF08FC">
      <w:pPr>
        <w:pStyle w:val="ListBullet"/>
        <w:spacing w:after="60"/>
        <w:ind w:left="720"/>
        <w:rPr/>
      </w:pPr>
      <w:r w:rsidR="4FFA03D3">
        <w:rPr/>
        <w:t>Nog steeds niet vergund</w:t>
      </w:r>
    </w:p>
    <w:p xmlns:wp14="http://schemas.microsoft.com/office/word/2010/wordml" w14:paraId="5A7871D0" wp14:textId="2E4245E7">
      <w:pPr>
        <w:pStyle w:val="ListBullet"/>
        <w:spacing w:after="60"/>
        <w:ind w:left="720"/>
        <w:rPr/>
      </w:pPr>
      <w:r w:rsidR="4FFA03D3">
        <w:rPr/>
        <w:t>Onderwerp van 20-tal annulatieverzoeken bij de Raad van State</w:t>
      </w:r>
    </w:p>
    <w:p xmlns:wp14="http://schemas.microsoft.com/office/word/2010/wordml" w14:paraId="435F0C93" wp14:textId="77777777">
      <w:pPr>
        <w:pStyle w:val="ListBullet"/>
        <w:spacing w:after="60"/>
        <w:ind w:left="720"/>
      </w:pPr>
      <w:r>
        <w:t>Geconfronteerd met 2.514 bezwaarschriften in het eerste openbaar onderzoek</w:t>
      </w:r>
    </w:p>
    <w:p xmlns:wp14="http://schemas.microsoft.com/office/word/2010/wordml" w14:paraId="5FFE66EF" wp14:textId="77777777">
      <w:pPr>
        <w:pStyle w:val="ListBullet"/>
        <w:spacing w:after="60"/>
        <w:ind w:left="720"/>
      </w:pPr>
      <w:r>
        <w:t>Door 12 van 14 betrokken gemeenten ongunstig geadviseerd</w:t>
      </w:r>
    </w:p>
    <w:p xmlns:wp14="http://schemas.microsoft.com/office/word/2010/wordml" w14:paraId="3A7CB913" wp14:textId="77777777">
      <w:pPr>
        <w:pStyle w:val="ListBullet"/>
        <w:spacing w:after="60"/>
        <w:ind w:left="720"/>
      </w:pPr>
      <w:r>
        <w:t>Vertraagd door meerdere juridische procedures (GRUP + omgevingsvergunningen)</w:t>
      </w:r>
    </w:p>
    <w:p xmlns:wp14="http://schemas.microsoft.com/office/word/2010/wordml" w14:paraId="59C1E2D0" wp14:textId="77777777">
      <w:r>
        <w:t>De "snelheid" van het AC-alternatief is dus een fictie: het project is al meer dan 7 jaar vertraagd.</w:t>
      </w:r>
    </w:p>
    <w:p xmlns:wp14="http://schemas.microsoft.com/office/word/2010/wordml" w14:paraId="6F47118A" wp14:textId="77777777">
      <w:r>
        <w:rPr>
          <w:b/>
        </w:rPr>
        <w:t>(b) De Duitse HVDC-projecten tonen realistische bouwtijden</w:t>
      </w:r>
    </w:p>
    <w:p xmlns:wp14="http://schemas.microsoft.com/office/word/2010/wordml" w14:paraId="18BCDF3F" wp14:textId="77777777">
      <w:r>
        <w:t>De Duitse corridors bewijzen dat ondergrondse HVDC-projecten in 4-6 jaar gerealiseerd kunnen worden:</w:t>
      </w:r>
    </w:p>
    <w:p xmlns:wp14="http://schemas.microsoft.com/office/word/2010/wordml" w14:paraId="361F7F80" wp14:textId="77777777">
      <w:pPr>
        <w:pStyle w:val="ListBullet"/>
        <w:spacing w:after="60"/>
        <w:ind w:left="720"/>
      </w:pPr>
      <w:r>
        <w:rPr>
          <w:b/>
        </w:rPr>
        <w:t>SuedOstLink:</w:t>
      </w:r>
      <w:r>
        <w:t xml:space="preserve"> beslissing ~2020, installatie 2024-2026, oplevering 2026-2027</w:t>
      </w:r>
    </w:p>
    <w:p xmlns:wp14="http://schemas.microsoft.com/office/word/2010/wordml" w14:paraId="00679884" wp14:textId="77777777">
      <w:pPr>
        <w:pStyle w:val="ListBullet"/>
        <w:spacing w:after="60"/>
        <w:ind w:left="720"/>
      </w:pPr>
      <w:r>
        <w:rPr>
          <w:b/>
        </w:rPr>
        <w:t>SuedLink:</w:t>
      </w:r>
      <w:r>
        <w:t xml:space="preserve"> beslissing ~2020, installatie 2024-2026, oplevering 2026</w:t>
      </w:r>
    </w:p>
    <w:p xmlns:wp14="http://schemas.microsoft.com/office/word/2010/wordml" w14:paraId="7115E0A6" wp14:textId="77777777">
      <w:pPr>
        <w:pStyle w:val="ListBullet"/>
        <w:spacing w:after="60"/>
        <w:ind w:left="720"/>
      </w:pPr>
      <w:r>
        <w:rPr>
          <w:b/>
        </w:rPr>
        <w:t>A-Nord:</w:t>
      </w:r>
      <w:r>
        <w:t xml:space="preserve"> beslissing ~2022, installatie 2025, oplevering 2027</w:t>
      </w:r>
    </w:p>
    <w:p xmlns:wp14="http://schemas.microsoft.com/office/word/2010/wordml" w14:paraId="2DEE386C" wp14:textId="77777777">
      <w:r>
        <w:t>Als in 2022 was gekozen voor een herstart met HVDC ondergronds, had het project nu (2026) al in een vergevorderd stadium van realisatie kunnen zijn — vergelijkbaar met de Duitse corridors.</w:t>
      </w:r>
    </w:p>
    <w:p xmlns:wp14="http://schemas.microsoft.com/office/word/2010/wordml" w14:paraId="68EECB0C" wp14:textId="77777777">
      <w:r>
        <w:rPr>
          <w:b/>
        </w:rPr>
        <w:t>(c) Het urgentie-argument is ondermijnd</w:t>
      </w:r>
    </w:p>
    <w:p xmlns:wp14="http://schemas.microsoft.com/office/word/2010/wordml" w14:paraId="04B03AC7" wp14:textId="77777777">
      <w:r>
        <w:t xml:space="preserve">Minister Brouns erkende in een parlementaire vraag (nr. 1122, Commissie Leefmilieu, 2 december 2025) dat de werkelijke netbelasting van de relevante transmissielijnen slechts </w:t>
      </w:r>
      <w:r>
        <w:rPr>
          <w:b/>
        </w:rPr>
        <w:t>9-12,6%</w:t>
      </w:r>
      <w:r>
        <w:t xml:space="preserve"> bedraagt, niet de 60% die in Elia's Federaal Ontwikkelingsplan wordt gesuggereerd. Dit ondermijnt de urgentie-argumentatie fundamenteel. Bij een netbelasting van 9-12,6% is er geen acute capaciteitscrisis die een versnelde bovengrondse oplossing rechtvaardigt.</w:t>
      </w:r>
    </w:p>
    <w:p xmlns:wp14="http://schemas.microsoft.com/office/word/2010/wordml" w14:paraId="78CD59CD" wp14:textId="77777777">
      <w:pPr>
        <w:pStyle w:val="Heading3"/>
      </w:pPr>
      <w:r>
        <w:t>Relevantie voor Ventilus</w:t>
      </w:r>
    </w:p>
    <w:p xmlns:wp14="http://schemas.microsoft.com/office/word/2010/wordml" w14:paraId="2DDCA981" wp14:textId="77777777">
      <w:r>
        <w:t xml:space="preserve">Het timing-argument was in 2022 valide onder twee aannames: (1) dat het AC-project snel zou vorderen, en (2) dat er acute urgentie was. Beide aannames zijn in 2026 ernstig verzwakt: het AC-project is vastgelopen in juridische procedures, en de urgentie is ondermijnd door de werkelijke netbelastingscijfers. </w:t>
      </w:r>
      <w:r>
        <w:rPr>
          <w:b/>
        </w:rPr>
        <w:t>Als urgentie de doorslag gaf voor de AC-keuze, en die urgentie blijkt minder acuut, dan vervalt het belangrijkste motief voor die keuze.</w:t>
      </w:r>
      <w:r>
        <w:t xml:space="preserve"> Dat is bestuurlijk uitermate relevant.</w:t>
      </w:r>
    </w:p>
    <w:p xmlns:wp14="http://schemas.microsoft.com/office/word/2010/wordml" w14:paraId="3FE86490" wp14:textId="77777777">
      <w:r>
        <w:rPr>
          <w:i/>
        </w:rPr>
        <w:t>Let op: het cijfer van 9-12,6% netbelasting betreft de gegevens zoals medegedeeld door minister Brouns in antwoord op parlementaire vraag nr. 1122 (Bart Dochy, 2 december 2025). Het betreft de belasting van de relevante transmissielijnen, niet het globale Belgische net. Dit dient correct gecontextualiseerd te worden: het gaat om gemiddelde belastingsgraden, niet om piekbelasting.</w:t>
      </w:r>
    </w:p>
    <w:p xmlns:wp14="http://schemas.microsoft.com/office/word/2010/wordml" w14:paraId="41C8F396" wp14:textId="77777777">
      <w:pPr>
        <w:spacing w:before="240" w:after="240"/>
        <w:pBdr>
          <w:bottom w:val="single" w:color="CCCCCC" w:sz="6" w:space="1"/>
        </w:pBdr>
      </w:pPr>
    </w:p>
    <w:p xmlns:wp14="http://schemas.microsoft.com/office/word/2010/wordml" w14:paraId="1CAA3323" wp14:textId="77777777">
      <w:pPr>
        <w:pStyle w:val="Heading2"/>
      </w:pPr>
      <w:r>
        <w:t>6. Wat het Intendant-rapport NIET onderzocht</w:t>
      </w:r>
    </w:p>
    <w:p xmlns:wp14="http://schemas.microsoft.com/office/word/2010/wordml" w14:paraId="5F52B663" wp14:textId="77777777">
      <w:pPr>
        <w:pStyle w:val="Heading3"/>
      </w:pPr>
      <w:r>
        <w:t>6.1 Het "Prepare for Future"-concept van Prof. Van Hertem</w:t>
      </w:r>
    </w:p>
    <w:p xmlns:wp14="http://schemas.microsoft.com/office/word/2010/wordml" w14:paraId="38410139" wp14:textId="77777777">
      <w:r>
        <w:t>De intendant vroeg Prof. Van Hertem (KU Leuven) zelf om een volledig ondergronds DC-concept uit te werken. Het resulterende "Prepare for Future"-voorstel werd vervolgens afgewezen omdat "de technologie om dit te realiseren vandaag nog niet bestaat" (p. 64). Dit was in 2022 formeel correct, maar het concept was juist visionair: het anticipeerde op de multi-terminal DC-technologie die nu actief wordt ontwikkeld (zie sectie 2). Het rapport had dit concept als toekomstbestendig alternatief moeten aanbevelen voor verder onderzoek, in plaats van het af te wijzen.</w:t>
      </w:r>
    </w:p>
    <w:p xmlns:wp14="http://schemas.microsoft.com/office/word/2010/wordml" w14:paraId="44E80B4D" wp14:textId="77777777">
      <w:pPr>
        <w:pStyle w:val="Heading3"/>
      </w:pPr>
      <w:r>
        <w:t>6.2 Hybride AC/DC-oplossingen</w:t>
      </w:r>
    </w:p>
    <w:p xmlns:wp14="http://schemas.microsoft.com/office/word/2010/wordml" w14:paraId="3779D9A3" wp14:textId="77777777">
      <w:r>
        <w:t>Duitsland combineert HVDC-corridors (noord-zuid) met een bestaand AC-netwerk. Een vergelijkbare hybride aanpak voor Ventilus — waarbij de nieuwe verbinding ondergronds in DC wordt aangelegd en wordt aangesloten op het bestaande AC-netwerk — is nooit als alternatief onderzocht. Dit terwijl Elia zelf via ALEGrO al ervaring heeft met exact dit type hybride AC/DC-integratie.</w:t>
      </w:r>
    </w:p>
    <w:p xmlns:wp14="http://schemas.microsoft.com/office/word/2010/wordml" w14:paraId="514BC2E7" wp14:textId="77777777">
      <w:pPr>
        <w:pStyle w:val="Heading3"/>
      </w:pPr>
      <w:r>
        <w:t>6.3 Maatschappelijke totaalkosten</w:t>
      </w:r>
    </w:p>
    <w:p xmlns:wp14="http://schemas.microsoft.com/office/word/2010/wordml" w14:paraId="5D41080E" wp14:textId="77777777">
      <w:r>
        <w:t>Het rapport vergelijkt technische kosten, maar negeert structureel de maatschappelijke kosten van het bovengrondse alternatief: juridische procedures, politieke weerstand, waardevermindering woningen, gezondheidsrisico's, compensatieclaims en reputatieschade. De Duitse ervaring toont aan dat deze maatschappelijke kosten de doorslag gaven om over te schakelen naar ondergrondse aanleg.</w:t>
      </w:r>
    </w:p>
    <w:p xmlns:wp14="http://schemas.microsoft.com/office/word/2010/wordml" w14:paraId="50DB6D38" wp14:textId="77777777">
      <w:pPr>
        <w:pStyle w:val="Heading3"/>
      </w:pPr>
      <w:r>
        <w:t>6.4 Actuele kabelfabrikant-capaciteit</w:t>
      </w:r>
    </w:p>
    <w:p xmlns:wp14="http://schemas.microsoft.com/office/word/2010/wordml" w14:paraId="6E35ED7F" wp14:textId="38A4A2BF">
      <w:r w:rsidR="4FFA03D3">
        <w:rPr/>
        <w:t xml:space="preserve">Het rapport bevat geen analyse van de productiecapaciteit van kabelfabrikanten. In 2026 hebben </w:t>
      </w:r>
      <w:r w:rsidR="4FFA03D3">
        <w:rPr/>
        <w:t>Prysmian</w:t>
      </w:r>
      <w:r w:rsidR="4FFA03D3">
        <w:rPr/>
        <w:t xml:space="preserve">, NKT, </w:t>
      </w:r>
      <w:r w:rsidR="4FFA03D3">
        <w:rPr/>
        <w:t>Nexans</w:t>
      </w:r>
      <w:r w:rsidR="4FFA03D3">
        <w:rPr/>
        <w:t xml:space="preserve"> en Sumitomo Electric samen voldoende productiecapaciteit om projecten als </w:t>
      </w:r>
      <w:r w:rsidR="4FFA03D3">
        <w:rPr/>
        <w:t>Ventilus</w:t>
      </w:r>
      <w:r w:rsidR="4FFA03D3">
        <w:rPr/>
        <w:t xml:space="preserve"> binnen reguliere levertermijnen te bedienen. De bewering dat HVDC-kabels niet tijdig beschikbaar zouden zijn, is niet onderbouwd en wordt door de huidige </w:t>
      </w:r>
      <w:r w:rsidR="4FFA03D3">
        <w:rPr/>
        <w:t>orderboeken van</w:t>
      </w:r>
      <w:r w:rsidR="4FFA03D3">
        <w:rPr/>
        <w:t xml:space="preserve"> deze fabrikanten weerlegd.</w:t>
      </w:r>
    </w:p>
    <w:p xmlns:wp14="http://schemas.microsoft.com/office/word/2010/wordml" w14:paraId="72A3D3EC" wp14:textId="77777777">
      <w:pPr>
        <w:spacing w:before="240" w:after="240"/>
        <w:pBdr>
          <w:bottom w:val="single" w:color="CCCCCC" w:sz="6" w:space="1"/>
        </w:pBdr>
      </w:pPr>
    </w:p>
    <w:p xmlns:wp14="http://schemas.microsoft.com/office/word/2010/wordml" w14:paraId="3AB22E9C" wp14:textId="77777777">
      <w:pPr>
        <w:pStyle w:val="Heading2"/>
      </w:pPr>
      <w:r>
        <w:t>7. Vergelijkende tabel: Intendant 2022 vs. Realiteit 2026</w:t>
      </w:r>
    </w:p>
    <w:tbl>
      <w:tblPr>
        <w:tblStyle w:val="TableGrid"/>
        <w:tblW w:w="0" w:type="auto"/>
        <w:jc w:val="left"/>
        <w:tblLook w:val="04A0" w:firstRow="1" w:lastRow="0" w:firstColumn="1" w:lastColumn="0" w:noHBand="0" w:noVBand="1"/>
      </w:tblPr>
      <w:tblGrid>
        <w:gridCol w:w="2351"/>
        <w:gridCol w:w="2351"/>
        <w:gridCol w:w="2351"/>
        <w:gridCol w:w="2351"/>
      </w:tblGrid>
      <w:tr xmlns:wp14="http://schemas.microsoft.com/office/word/2010/wordml" w14:paraId="29FF8310" wp14:textId="77777777">
        <w:tc>
          <w:tcPr>
            <w:tcW w:w="2351" w:type="dxa"/>
            <w:shd w:fill="1F3864" w:themeFill="accent1" w:themeFillShade="80"/>
          </w:tcPr>
          <w:p w14:paraId="793AD284" wp14:textId="77777777">
            <w:pPr>
              <w:spacing w:before="40" w:after="40"/>
            </w:pPr>
            <w:r>
              <w:rPr>
                <w:b/>
                <w:color w:val="FFFFFF"/>
                <w:sz w:val="19"/>
              </w:rPr>
            </w:r>
            <w:r>
              <w:rPr>
                <w:b/>
                <w:color w:val="FFFFFF"/>
                <w:sz w:val="19"/>
              </w:rPr>
              <w:t>Argument Intendant (2022)</w:t>
            </w:r>
          </w:p>
        </w:tc>
        <w:tc>
          <w:tcPr>
            <w:tcW w:w="2351" w:type="dxa"/>
            <w:shd w:fill="1F3864" w:themeFill="accent1" w:themeFillShade="80"/>
          </w:tcPr>
          <w:p w14:paraId="5529963D" wp14:textId="77777777">
            <w:pPr>
              <w:spacing w:before="40" w:after="40"/>
            </w:pPr>
            <w:r>
              <w:rPr>
                <w:b/>
                <w:color w:val="FFFFFF"/>
                <w:sz w:val="19"/>
              </w:rPr>
            </w:r>
            <w:r>
              <w:rPr>
                <w:b/>
                <w:color w:val="FFFFFF"/>
                <w:sz w:val="19"/>
              </w:rPr>
              <w:t>Conclusie 2022</w:t>
            </w:r>
          </w:p>
        </w:tc>
        <w:tc>
          <w:tcPr>
            <w:tcW w:w="2351" w:type="dxa"/>
            <w:shd w:fill="1F3864" w:themeFill="accent1" w:themeFillShade="80"/>
          </w:tcPr>
          <w:p w14:paraId="5A06879E" wp14:textId="77777777">
            <w:pPr>
              <w:spacing w:before="40" w:after="40"/>
            </w:pPr>
            <w:r>
              <w:rPr>
                <w:b/>
                <w:color w:val="FFFFFF"/>
                <w:sz w:val="19"/>
              </w:rPr>
            </w:r>
            <w:r>
              <w:rPr>
                <w:b/>
                <w:color w:val="FFFFFF"/>
                <w:sz w:val="19"/>
              </w:rPr>
              <w:t>Realiteit 2026</w:t>
            </w:r>
          </w:p>
        </w:tc>
        <w:tc>
          <w:tcPr>
            <w:tcW w:w="2351" w:type="dxa"/>
            <w:shd w:fill="1F3864" w:themeFill="accent1" w:themeFillShade="80"/>
          </w:tcPr>
          <w:p w14:paraId="7D2E9FF0" wp14:textId="77777777">
            <w:pPr>
              <w:spacing w:before="40" w:after="40"/>
            </w:pPr>
            <w:r>
              <w:rPr>
                <w:b/>
                <w:color w:val="FFFFFF"/>
                <w:sz w:val="19"/>
              </w:rPr>
            </w:r>
            <w:r>
              <w:rPr>
                <w:b/>
                <w:color w:val="FFFFFF"/>
                <w:sz w:val="19"/>
              </w:rPr>
              <w:t>Beoordeling 2026</w:t>
            </w:r>
          </w:p>
        </w:tc>
      </w:tr>
      <w:tr xmlns:wp14="http://schemas.microsoft.com/office/word/2010/wordml" w14:paraId="56C1DA4C" wp14:textId="77777777">
        <w:tc>
          <w:tcPr>
            <w:tcW w:w="2351" w:type="dxa"/>
            <w:shd w:fill="F2F6FC"/>
          </w:tcPr>
          <w:p w14:paraId="17AC150D" wp14:textId="77777777">
            <w:pPr>
              <w:spacing w:before="40" w:after="40"/>
            </w:pPr>
            <w:r>
              <w:rPr>
                <w:sz w:val="19"/>
              </w:rPr>
            </w:r>
            <w:r>
              <w:rPr>
                <w:sz w:val="19"/>
              </w:rPr>
              <w:t>HVDC ondergronds niet bewezen op schaal</w:t>
            </w:r>
          </w:p>
        </w:tc>
        <w:tc>
          <w:tcPr>
            <w:tcW w:w="2351" w:type="dxa"/>
            <w:shd w:fill="F2F6FC"/>
          </w:tcPr>
          <w:p w14:paraId="386AB8E1" wp14:textId="77777777">
            <w:pPr>
              <w:spacing w:before="40" w:after="40"/>
            </w:pPr>
            <w:r>
              <w:rPr>
                <w:sz w:val="19"/>
              </w:rPr>
            </w:r>
            <w:r>
              <w:rPr>
                <w:sz w:val="19"/>
              </w:rPr>
              <w:t>"Niet compleet ondenkbaar, alleen niet binnen tijdsperspectief"</w:t>
            </w:r>
          </w:p>
        </w:tc>
        <w:tc>
          <w:tcPr>
            <w:tcW w:w="2351" w:type="dxa"/>
            <w:shd w:fill="F2F6FC"/>
          </w:tcPr>
          <w:p w14:paraId="5F0385C6" wp14:textId="77777777">
            <w:pPr>
              <w:spacing w:before="40" w:after="40"/>
            </w:pPr>
            <w:r>
              <w:rPr>
                <w:sz w:val="19"/>
              </w:rPr>
            </w:r>
            <w:r>
              <w:rPr>
                <w:sz w:val="19"/>
              </w:rPr>
              <w:t>&gt;1.500 km in aanbouw in Duitsland, oplevering 2026-2027</w:t>
            </w:r>
          </w:p>
        </w:tc>
        <w:tc>
          <w:tcPr>
            <w:tcW w:w="2351" w:type="dxa"/>
            <w:shd w:fill="F2F6FC"/>
          </w:tcPr>
          <w:p w14:paraId="63A6C0F3" wp14:textId="77777777">
            <w:pPr>
              <w:spacing w:before="40" w:after="40"/>
            </w:pPr>
            <w:r>
              <w:rPr>
                <w:sz w:val="19"/>
              </w:rPr>
            </w:r>
            <w:r>
              <w:rPr>
                <w:b/>
                <w:sz w:val="19"/>
              </w:rPr>
              <w:t>Achterhaald</w:t>
            </w:r>
          </w:p>
        </w:tc>
      </w:tr>
      <w:tr xmlns:wp14="http://schemas.microsoft.com/office/word/2010/wordml" w14:paraId="0B9AD069" wp14:textId="77777777">
        <w:tc>
          <w:tcPr>
            <w:tcW w:w="2351" w:type="dxa"/>
          </w:tcPr>
          <w:p w14:paraId="30D0925A" wp14:textId="77777777">
            <w:pPr>
              <w:spacing w:before="40" w:after="40"/>
            </w:pPr>
            <w:r>
              <w:rPr>
                <w:sz w:val="19"/>
              </w:rPr>
            </w:r>
            <w:r>
              <w:rPr>
                <w:sz w:val="19"/>
              </w:rPr>
              <w:t>Geen vermazing mogelijk met DC</w:t>
            </w:r>
          </w:p>
        </w:tc>
        <w:tc>
          <w:tcPr>
            <w:tcW w:w="2351" w:type="dxa"/>
          </w:tcPr>
          <w:p w14:paraId="2497003F" wp14:textId="77777777">
            <w:pPr>
              <w:spacing w:before="40" w:after="40"/>
            </w:pPr>
            <w:r>
              <w:rPr>
                <w:sz w:val="19"/>
              </w:rPr>
            </w:r>
            <w:r>
              <w:rPr>
                <w:sz w:val="19"/>
              </w:rPr>
              <w:t>"Kan niet in de vereiste betrouwbaarheid resulteren"</w:t>
            </w:r>
          </w:p>
        </w:tc>
        <w:tc>
          <w:tcPr>
            <w:tcW w:w="2351" w:type="dxa"/>
          </w:tcPr>
          <w:p w14:paraId="601601CD" wp14:textId="77777777">
            <w:pPr>
              <w:spacing w:before="40" w:after="40"/>
            </w:pPr>
            <w:r>
              <w:rPr>
                <w:sz w:val="19"/>
              </w:rPr>
            </w:r>
            <w:r>
              <w:rPr>
                <w:sz w:val="19"/>
              </w:rPr>
              <w:t>Multi-terminal hubs in ontwikkeling (GE/Siemens/Hitachi), HVDC-breakers verwacht 2027-2028</w:t>
            </w:r>
          </w:p>
        </w:tc>
        <w:tc>
          <w:tcPr>
            <w:tcW w:w="2351" w:type="dxa"/>
          </w:tcPr>
          <w:p w14:paraId="2812AD13" wp14:textId="77777777">
            <w:pPr>
              <w:spacing w:before="40" w:after="40"/>
            </w:pPr>
            <w:r>
              <w:rPr>
                <w:sz w:val="19"/>
              </w:rPr>
            </w:r>
            <w:r>
              <w:rPr>
                <w:b/>
                <w:sz w:val="19"/>
              </w:rPr>
              <w:t>Te absoluut geformuleerd; nog niet volledig weerlegd</w:t>
            </w:r>
          </w:p>
        </w:tc>
      </w:tr>
      <w:tr xmlns:wp14="http://schemas.microsoft.com/office/word/2010/wordml" w14:paraId="7DA9F552" wp14:textId="77777777">
        <w:tc>
          <w:tcPr>
            <w:tcW w:w="2351" w:type="dxa"/>
            <w:shd w:fill="F2F6FC"/>
          </w:tcPr>
          <w:p w14:paraId="446B13A5" wp14:textId="77777777">
            <w:pPr>
              <w:spacing w:before="40" w:after="40"/>
            </w:pPr>
            <w:r>
              <w:rPr>
                <w:sz w:val="19"/>
              </w:rPr>
            </w:r>
            <w:r>
              <w:rPr>
                <w:sz w:val="19"/>
              </w:rPr>
              <w:t>DC is veel duurder</w:t>
            </w:r>
          </w:p>
        </w:tc>
        <w:tc>
          <w:tcPr>
            <w:tcW w:w="2351" w:type="dxa"/>
            <w:shd w:fill="F2F6FC"/>
          </w:tcPr>
          <w:p w14:paraId="1E9754B9" wp14:textId="77777777">
            <w:pPr>
              <w:spacing w:before="40" w:after="40"/>
            </w:pPr>
            <w:r>
              <w:rPr>
                <w:sz w:val="19"/>
              </w:rPr>
            </w:r>
            <w:r>
              <w:rPr>
                <w:sz w:val="19"/>
              </w:rPr>
              <w:t>"Een HVDC-optie zal zeker duurder worden"</w:t>
            </w:r>
          </w:p>
        </w:tc>
        <w:tc>
          <w:tcPr>
            <w:tcW w:w="2351" w:type="dxa"/>
            <w:shd w:fill="F2F6FC"/>
          </w:tcPr>
          <w:p w14:paraId="6D99F4C4" wp14:textId="77777777">
            <w:pPr>
              <w:spacing w:before="40" w:after="40"/>
            </w:pPr>
            <w:r>
              <w:rPr>
                <w:sz w:val="19"/>
              </w:rPr>
            </w:r>
            <w:r>
              <w:rPr>
                <w:sz w:val="19"/>
              </w:rPr>
              <w:t>Duitsland investeert miljarden; maatschappelijke totaalkost AC nooit doorgerekend</w:t>
            </w:r>
          </w:p>
        </w:tc>
        <w:tc>
          <w:tcPr>
            <w:tcW w:w="2351" w:type="dxa"/>
            <w:shd w:fill="F2F6FC"/>
          </w:tcPr>
          <w:p w14:paraId="7AD03621" wp14:textId="77777777">
            <w:pPr>
              <w:spacing w:before="40" w:after="40"/>
            </w:pPr>
            <w:r>
              <w:rPr>
                <w:sz w:val="19"/>
              </w:rPr>
            </w:r>
            <w:r>
              <w:rPr>
                <w:b/>
                <w:sz w:val="19"/>
              </w:rPr>
              <w:t>Onvolledige analyse — maatschappelijke kosten ontbreken</w:t>
            </w:r>
          </w:p>
        </w:tc>
      </w:tr>
      <w:tr xmlns:wp14="http://schemas.microsoft.com/office/word/2010/wordml" w14:paraId="12941479" wp14:textId="77777777">
        <w:tc>
          <w:tcPr>
            <w:tcW w:w="2351" w:type="dxa"/>
          </w:tcPr>
          <w:p w14:paraId="5DBC9151" wp14:textId="77777777">
            <w:pPr>
              <w:spacing w:before="40" w:after="40"/>
            </w:pPr>
            <w:r>
              <w:rPr>
                <w:sz w:val="19"/>
              </w:rPr>
            </w:r>
            <w:r>
              <w:rPr>
                <w:sz w:val="19"/>
              </w:rPr>
              <w:t>DC heeft lagere beschikbaarheid</w:t>
            </w:r>
          </w:p>
        </w:tc>
        <w:tc>
          <w:tcPr>
            <w:tcW w:w="2351" w:type="dxa"/>
          </w:tcPr>
          <w:p w14:paraId="17C96433" wp14:textId="77777777">
            <w:pPr>
              <w:spacing w:before="40" w:after="40"/>
            </w:pPr>
            <w:r>
              <w:rPr>
                <w:sz w:val="19"/>
              </w:rPr>
            </w:r>
            <w:r>
              <w:rPr>
                <w:sz w:val="19"/>
              </w:rPr>
              <w:t>"Intrinsiek lagere beschikbaarheid"</w:t>
            </w:r>
          </w:p>
        </w:tc>
        <w:tc>
          <w:tcPr>
            <w:tcW w:w="2351" w:type="dxa"/>
          </w:tcPr>
          <w:p w14:paraId="203AC756" wp14:textId="77777777">
            <w:pPr>
              <w:spacing w:before="40" w:after="40"/>
            </w:pPr>
            <w:r>
              <w:rPr>
                <w:sz w:val="19"/>
              </w:rPr>
            </w:r>
            <w:r>
              <w:rPr>
                <w:sz w:val="19"/>
              </w:rPr>
              <w:t>ALEGrO (Elia zelf): 93% beschikbaarheid eerste jaar</w:t>
            </w:r>
          </w:p>
        </w:tc>
        <w:tc>
          <w:tcPr>
            <w:tcW w:w="2351" w:type="dxa"/>
          </w:tcPr>
          <w:p w14:paraId="16564BC8" wp14:textId="77777777">
            <w:pPr>
              <w:spacing w:before="40" w:after="40"/>
            </w:pPr>
            <w:r>
              <w:rPr>
                <w:sz w:val="19"/>
              </w:rPr>
            </w:r>
            <w:r>
              <w:rPr>
                <w:b/>
                <w:sz w:val="19"/>
              </w:rPr>
              <w:t>Weerlegd door eigen data</w:t>
            </w:r>
          </w:p>
        </w:tc>
      </w:tr>
      <w:tr xmlns:wp14="http://schemas.microsoft.com/office/word/2010/wordml" w14:paraId="5464BE04" wp14:textId="77777777">
        <w:tc>
          <w:tcPr>
            <w:tcW w:w="2351" w:type="dxa"/>
            <w:shd w:fill="F2F6FC"/>
          </w:tcPr>
          <w:p w14:paraId="4BD969D3" wp14:textId="77777777">
            <w:pPr>
              <w:spacing w:before="40" w:after="40"/>
            </w:pPr>
            <w:r>
              <w:rPr>
                <w:sz w:val="19"/>
              </w:rPr>
            </w:r>
            <w:r>
              <w:rPr>
                <w:sz w:val="19"/>
              </w:rPr>
              <w:t>Timing: niet voor &gt;2032</w:t>
            </w:r>
          </w:p>
        </w:tc>
        <w:tc>
          <w:tcPr>
            <w:tcW w:w="2351" w:type="dxa"/>
            <w:shd w:fill="F2F6FC"/>
          </w:tcPr>
          <w:p w14:paraId="7BC66DB4" wp14:textId="77777777">
            <w:pPr>
              <w:spacing w:before="40" w:after="40"/>
            </w:pPr>
            <w:r>
              <w:rPr>
                <w:sz w:val="19"/>
              </w:rPr>
            </w:r>
            <w:r>
              <w:rPr>
                <w:sz w:val="19"/>
              </w:rPr>
              <w:t>"Met onmiddellijke uitvoering niet voor &gt;2032"</w:t>
            </w:r>
          </w:p>
        </w:tc>
        <w:tc>
          <w:tcPr>
            <w:tcW w:w="2351" w:type="dxa"/>
            <w:shd w:fill="F2F6FC"/>
          </w:tcPr>
          <w:p w14:paraId="6BD92992" wp14:textId="77777777">
            <w:pPr>
              <w:spacing w:before="40" w:after="40"/>
            </w:pPr>
            <w:r>
              <w:rPr>
                <w:sz w:val="19"/>
              </w:rPr>
            </w:r>
            <w:r>
              <w:rPr>
                <w:sz w:val="19"/>
              </w:rPr>
              <w:t>AC-project is in 2026 ook niet gerealiseerd; Duitse HVDC-projecten tonen 4-6 jaar bouwtijd</w:t>
            </w:r>
          </w:p>
        </w:tc>
        <w:tc>
          <w:tcPr>
            <w:tcW w:w="2351" w:type="dxa"/>
            <w:shd w:fill="F2F6FC"/>
          </w:tcPr>
          <w:p w14:paraId="70BEC2CC" wp14:textId="77777777">
            <w:pPr>
              <w:spacing w:before="40" w:after="40"/>
            </w:pPr>
            <w:r>
              <w:rPr>
                <w:sz w:val="19"/>
              </w:rPr>
            </w:r>
            <w:r>
              <w:rPr>
                <w:b/>
                <w:sz w:val="19"/>
              </w:rPr>
              <w:t>Urgentie-argument ernstig verzwakt</w:t>
            </w:r>
          </w:p>
        </w:tc>
      </w:tr>
      <w:tr xmlns:wp14="http://schemas.microsoft.com/office/word/2010/wordml" w14:paraId="078A8EBB" wp14:textId="77777777">
        <w:tc>
          <w:tcPr>
            <w:tcW w:w="2351" w:type="dxa"/>
          </w:tcPr>
          <w:p w14:paraId="32A0D583" wp14:textId="77777777">
            <w:pPr>
              <w:spacing w:before="40" w:after="40"/>
            </w:pPr>
            <w:r>
              <w:rPr>
                <w:sz w:val="19"/>
              </w:rPr>
            </w:r>
            <w:r>
              <w:rPr>
                <w:sz w:val="19"/>
              </w:rPr>
              <w:t>AC is de "enige robuuste oplossing"</w:t>
            </w:r>
          </w:p>
        </w:tc>
        <w:tc>
          <w:tcPr>
            <w:tcW w:w="2351" w:type="dxa"/>
          </w:tcPr>
          <w:p w14:paraId="41565BB0" wp14:textId="77777777">
            <w:pPr>
              <w:spacing w:before="40" w:after="40"/>
            </w:pPr>
            <w:r>
              <w:rPr>
                <w:sz w:val="19"/>
              </w:rPr>
            </w:r>
            <w:r>
              <w:rPr>
                <w:sz w:val="19"/>
              </w:rPr>
              <w:t>"Momenteel de enige oplossing"</w:t>
            </w:r>
          </w:p>
        </w:tc>
        <w:tc>
          <w:tcPr>
            <w:tcW w:w="2351" w:type="dxa"/>
          </w:tcPr>
          <w:p w14:paraId="535DBC11" wp14:textId="77777777">
            <w:pPr>
              <w:spacing w:before="40" w:after="40"/>
            </w:pPr>
            <w:r>
              <w:rPr>
                <w:sz w:val="19"/>
              </w:rPr>
            </w:r>
            <w:r>
              <w:rPr>
                <w:sz w:val="19"/>
              </w:rPr>
              <w:t>Hybride AC/DC niet onderzocht; multi-terminal DC in ontwikkeling</w:t>
            </w:r>
          </w:p>
        </w:tc>
        <w:tc>
          <w:tcPr>
            <w:tcW w:w="2351" w:type="dxa"/>
          </w:tcPr>
          <w:p w14:paraId="42557F74" wp14:textId="77777777">
            <w:pPr>
              <w:spacing w:before="40" w:after="40"/>
            </w:pPr>
            <w:r>
              <w:rPr>
                <w:sz w:val="19"/>
              </w:rPr>
            </w:r>
            <w:r>
              <w:rPr>
                <w:b/>
                <w:sz w:val="19"/>
              </w:rPr>
              <w:t>Voorbarig — alternatieven niet onderzocht</w:t>
            </w:r>
          </w:p>
        </w:tc>
      </w:tr>
    </w:tbl>
    <w:p xmlns:wp14="http://schemas.microsoft.com/office/word/2010/wordml" w14:paraId="0D0B940D" wp14:textId="77777777"/>
    <w:p xmlns:wp14="http://schemas.microsoft.com/office/word/2010/wordml" w14:paraId="0E27B00A" wp14:textId="77777777">
      <w:pPr>
        <w:spacing w:before="240" w:after="240"/>
        <w:pBdr>
          <w:bottom w:val="single" w:color="CCCCCC" w:sz="6" w:space="1"/>
        </w:pBdr>
      </w:pPr>
    </w:p>
    <w:p xmlns:wp14="http://schemas.microsoft.com/office/word/2010/wordml" w14:paraId="4BED25B3" wp14:textId="77777777">
      <w:pPr>
        <w:pStyle w:val="Heading2"/>
      </w:pPr>
      <w:r>
        <w:t>8. Conclusie</w:t>
      </w:r>
    </w:p>
    <w:p xmlns:wp14="http://schemas.microsoft.com/office/word/2010/wordml" w14:paraId="7C6F4BFD" wp14:textId="77777777">
      <w:r>
        <w:t>Het Eindrapport van de Ventilus-Intendant was in 2022 een zorgvuldig opgesteld bemiddelingsrapport en de technologische conclusies waren gebaseerd op de stand van de techniek op dat moment. Vier jaar later, in 2026, is de technologische context fundamenteel gewijzigd:</w:t>
      </w:r>
    </w:p>
    <w:p xmlns:wp14="http://schemas.microsoft.com/office/word/2010/wordml" w14:paraId="0D0AF211" wp14:textId="77777777">
      <w:pPr>
        <w:pStyle w:val="ListNumber"/>
        <w:spacing w:after="60"/>
        <w:ind w:left="720"/>
      </w:pPr>
      <w:r>
        <w:rPr>
          <w:b/>
        </w:rPr>
        <w:t>Schaal:</w:t>
      </w:r>
      <w:r>
        <w:t xml:space="preserve"> Volledig achterhaald — Duitsland bouwt &gt;1.500 km ondergrondse HVDC, meer dan 18x de lengte van Ventilus, met dezelfde kabeltechnologie</w:t>
      </w:r>
    </w:p>
    <w:p xmlns:wp14="http://schemas.microsoft.com/office/word/2010/wordml" w14:paraId="56362E5F" wp14:textId="77777777">
      <w:pPr>
        <w:pStyle w:val="ListNumber"/>
        <w:spacing w:after="60"/>
        <w:ind w:left="720"/>
      </w:pPr>
      <w:r>
        <w:rPr>
          <w:b/>
        </w:rPr>
        <w:t>Vermazing:</w:t>
      </w:r>
      <w:r>
        <w:t xml:space="preserve"> Te absoluut geformuleerd — multi-terminal HVDC is nog niet commercieel operationeel op TSO-schaal, maar de technologie evolueert snel met concrete industriële samenwerking en commerciële beschikbaarheid verwacht rond 2030</w:t>
      </w:r>
    </w:p>
    <w:p xmlns:wp14="http://schemas.microsoft.com/office/word/2010/wordml" w14:paraId="1E9F4CBE" wp14:textId="77777777">
      <w:pPr>
        <w:pStyle w:val="ListNumber"/>
        <w:spacing w:after="60"/>
        <w:ind w:left="720"/>
      </w:pPr>
      <w:r>
        <w:rPr>
          <w:b/>
        </w:rPr>
        <w:t>Kosten:</w:t>
      </w:r>
      <w:r>
        <w:t xml:space="preserve"> De maatschappelijke totaalkosten van het bovengrondse project zijn nooit integraal doorgerekend — een ernstige lacune in de evaluatie</w:t>
      </w:r>
    </w:p>
    <w:p xmlns:wp14="http://schemas.microsoft.com/office/word/2010/wordml" w14:paraId="1361E3E6" wp14:textId="77777777">
      <w:pPr>
        <w:pStyle w:val="ListNumber"/>
        <w:spacing w:after="60"/>
        <w:ind w:left="720"/>
      </w:pPr>
      <w:r>
        <w:rPr>
          <w:b/>
        </w:rPr>
        <w:t>Beschikbaarheid:</w:t>
      </w:r>
      <w:r>
        <w:t xml:space="preserve"> Weerlegd door Elia's eigen ALEGrO — 93% beschikbaarheid in het eerste operationele jaar ontkracht de bewering van "intrinsiek lagere beschikbaarheid"</w:t>
      </w:r>
    </w:p>
    <w:p xmlns:wp14="http://schemas.microsoft.com/office/word/2010/wordml" w14:paraId="72848AA3" wp14:textId="77777777">
      <w:pPr>
        <w:pStyle w:val="ListNumber"/>
        <w:spacing w:after="60"/>
        <w:ind w:left="720"/>
      </w:pPr>
      <w:r>
        <w:rPr>
          <w:b/>
        </w:rPr>
        <w:t>Timing:</w:t>
      </w:r>
      <w:r>
        <w:t xml:space="preserve"> Het urgentie-argument is ernstig verzwakt — het bovengrondse project is even vertraagd als een ondergronds alternatief zou zijn geweest</w:t>
      </w:r>
    </w:p>
    <w:p xmlns:wp14="http://schemas.microsoft.com/office/word/2010/wordml" w14:paraId="3BF3F042" wp14:textId="77777777">
      <w:r>
        <w:t xml:space="preserve">Dit document bewijst niet dat de AC-keuze fout is. Wat het wel aantoont, is dat </w:t>
      </w:r>
      <w:r>
        <w:rPr>
          <w:b/>
        </w:rPr>
        <w:t>de beslissing berust op technologische aannames die in 2026 niet meer actueel zijn.</w:t>
      </w:r>
      <w:r>
        <w:t xml:space="preserve"> Dat is een wezenlijk verschil — en juridisch een veel sterker standpunt.</w:t>
      </w:r>
    </w:p>
    <w:p xmlns:wp14="http://schemas.microsoft.com/office/word/2010/wordml" w14:paraId="6206B552" wp14:textId="77777777">
      <w:r>
        <w:t>De kernvraag is niet "was de intendant fout in 2022?" maar wel: "is het verantwoord om in 2026 een vergunning te verlenen op basis van een technologie-evaluatie uit 2022, terwijl de technologische context fundamenteel is gewijzigd?"</w:t>
      </w:r>
    </w:p>
    <w:p xmlns:wp14="http://schemas.microsoft.com/office/word/2010/wordml" w14:paraId="0CD6F9CE" wp14:textId="3EF46AC4">
      <w:r w:rsidRPr="4FFA03D3" w:rsidR="4FFA03D3">
        <w:rPr>
          <w:b w:val="1"/>
          <w:bCs w:val="1"/>
        </w:rPr>
        <w:t>Aanbeveling:</w:t>
      </w:r>
      <w:r w:rsidR="4FFA03D3">
        <w:rPr/>
        <w:t xml:space="preserve"> Een geactualiseerd, onafhankelijk technologie-onderzoek is noodzakelijk alvorens vergunningverlening. De vergunningverlenende overheid kan in 2026 niet verantwoord beslissen op basis van technologische aannames uit 2019- 2022. Dit is geen kritiek op het werk van de intendant, maar een vaststelling dat technologische realiteiten sneller zijn geëvolueerd dan het besluitvormingsproces.</w:t>
      </w:r>
    </w:p>
    <w:p xmlns:wp14="http://schemas.microsoft.com/office/word/2010/wordml" w14:paraId="60061E4C" wp14:textId="77777777">
      <w:pPr>
        <w:spacing w:before="240" w:after="240"/>
        <w:pBdr>
          <w:bottom w:val="single" w:color="CCCCCC" w:sz="6" w:space="1"/>
        </w:pBdr>
      </w:pPr>
    </w:p>
    <w:p xmlns:wp14="http://schemas.microsoft.com/office/word/2010/wordml" w14:paraId="02B6C17A" wp14:textId="77777777">
      <w:pPr>
        <w:pStyle w:val="Heading2"/>
      </w:pPr>
      <w:r>
        <w:t>Bronnenlijst</w:t>
      </w:r>
    </w:p>
    <w:p xmlns:wp14="http://schemas.microsoft.com/office/word/2010/wordml" w14:paraId="1F30A0E7" wp14:textId="77777777">
      <w:pPr>
        <w:pStyle w:val="Heading3"/>
      </w:pPr>
      <w:r>
        <w:t>Officiele instanties</w:t>
      </w:r>
    </w:p>
    <w:p xmlns:wp14="http://schemas.microsoft.com/office/word/2010/wordml" w14:paraId="344C4D2B" wp14:textId="77777777">
      <w:pPr>
        <w:pStyle w:val="ListBullet"/>
        <w:spacing w:after="60"/>
        <w:ind w:left="720"/>
      </w:pPr>
      <w:r>
        <w:t>Bundesnetzagentur, persbericht 02/01/2026: "Energy transition clears crucial hurdle — significant progress in electricity grid expansion in 2025"</w:t>
      </w:r>
    </w:p>
    <w:p xmlns:wp14="http://schemas.microsoft.com/office/word/2010/wordml" w14:paraId="59DD0E49" wp14:textId="77777777">
      <w:pPr>
        <w:pStyle w:val="ListBullet"/>
        <w:spacing w:after="60"/>
        <w:ind w:left="720"/>
      </w:pPr>
      <w:r>
        <w:t>BBPlG §3 (Bundesbedarfsplangesetz): Duitse wet die HVDC-kabels standaard ondergronds legt</w:t>
      </w:r>
    </w:p>
    <w:p xmlns:wp14="http://schemas.microsoft.com/office/word/2010/wordml" w14:paraId="3770769F" wp14:textId="77777777">
      <w:pPr>
        <w:pStyle w:val="Heading3"/>
      </w:pPr>
      <w:r>
        <w:t>Projectbronnen</w:t>
      </w:r>
    </w:p>
    <w:p xmlns:wp14="http://schemas.microsoft.com/office/word/2010/wordml" w14:paraId="32AC99BA" wp14:textId="77777777">
      <w:pPr>
        <w:pStyle w:val="ListBullet"/>
        <w:spacing w:after="60"/>
        <w:ind w:left="720"/>
      </w:pPr>
      <w:r>
        <w:t>50Hertz: "SuedOstLink" — projectpagina</w:t>
      </w:r>
    </w:p>
    <w:p xmlns:wp14="http://schemas.microsoft.com/office/word/2010/wordml" w14:paraId="33F7201A" wp14:textId="77777777">
      <w:pPr>
        <w:pStyle w:val="ListBullet"/>
        <w:spacing w:after="60"/>
        <w:ind w:left="720"/>
      </w:pPr>
      <w:r>
        <w:t>Prysmian Group: "German HVDC cable projects: at the core of the European Energy Transition"</w:t>
      </w:r>
    </w:p>
    <w:p xmlns:wp14="http://schemas.microsoft.com/office/word/2010/wordml" w14:paraId="3B9F0555" wp14:textId="77777777">
      <w:pPr>
        <w:pStyle w:val="ListBullet"/>
        <w:spacing w:after="60"/>
        <w:ind w:left="720"/>
      </w:pPr>
      <w:r>
        <w:t>NKT: "Corridor projects, Germany"</w:t>
      </w:r>
    </w:p>
    <w:p xmlns:wp14="http://schemas.microsoft.com/office/word/2010/wordml" w14:paraId="23F0E548" wp14:textId="77777777">
      <w:pPr>
        <w:pStyle w:val="ListBullet"/>
        <w:spacing w:after="60"/>
        <w:ind w:left="720"/>
      </w:pPr>
      <w:r>
        <w:t>Sumitomo Electric, persbericht 01/07/2025: "Kicks Off Installation of 525 kV DC Underground Cable for A-Nord"</w:t>
      </w:r>
    </w:p>
    <w:p xmlns:wp14="http://schemas.microsoft.com/office/word/2010/wordml" w14:paraId="5A0ED743" wp14:textId="77777777">
      <w:pPr>
        <w:pStyle w:val="ListBullet"/>
        <w:spacing w:after="60"/>
        <w:ind w:left="720"/>
      </w:pPr>
      <w:r>
        <w:t>Amprion, persbericht 09/11/2021: "ALEGrO celebrates first anniversary with good results"</w:t>
      </w:r>
    </w:p>
    <w:p xmlns:wp14="http://schemas.microsoft.com/office/word/2010/wordml" w14:paraId="67444FF5" wp14:textId="77777777">
      <w:pPr>
        <w:pStyle w:val="ListBullet"/>
        <w:spacing w:after="60"/>
        <w:ind w:left="720"/>
      </w:pPr>
      <w:r>
        <w:t>Elia, persbericht 31/05/2023: "Pioneering autonomous robot used to inspect ALEGrO's HVDC converter station"</w:t>
      </w:r>
    </w:p>
    <w:p xmlns:wp14="http://schemas.microsoft.com/office/word/2010/wordml" w14:paraId="2C43115F" wp14:textId="77777777">
      <w:pPr>
        <w:pStyle w:val="Heading3"/>
      </w:pPr>
      <w:r>
        <w:t>Wetenschappelijke bronnen</w:t>
      </w:r>
    </w:p>
    <w:p xmlns:wp14="http://schemas.microsoft.com/office/word/2010/wordml" w14:paraId="7D7BCFD1" wp14:textId="77777777">
      <w:pPr>
        <w:pStyle w:val="ListBullet"/>
        <w:spacing w:after="60"/>
        <w:ind w:left="720"/>
      </w:pPr>
      <w:r>
        <w:t>Nature Scientific Reports (2025): "Enhancing stability in renewable energy transmission using multi-terminal HVDC systems with grid-forming controls for offshore and onshore wind integration"</w:t>
      </w:r>
    </w:p>
    <w:p xmlns:wp14="http://schemas.microsoft.com/office/word/2010/wordml" w14:paraId="5EB693DB" wp14:textId="77777777">
      <w:pPr>
        <w:pStyle w:val="ListBullet"/>
        <w:spacing w:after="60"/>
        <w:ind w:left="720"/>
      </w:pPr>
      <w:r>
        <w:t>MDPI Energies 17(10), 2388 (2024): "Getting Ready for Multi-Vendor and Multi-Terminal HVDC Technology"</w:t>
      </w:r>
    </w:p>
    <w:p xmlns:wp14="http://schemas.microsoft.com/office/word/2010/wordml" w14:paraId="556DAE27" wp14:textId="77777777">
      <w:pPr>
        <w:pStyle w:val="ListBullet"/>
        <w:spacing w:after="60"/>
        <w:ind w:left="720"/>
      </w:pPr>
      <w:r>
        <w:t>SuperGrid Institute, 09/12/2025: "InterOPERA specifications for multi-vendor multi-terminal HVDC demonstrator"</w:t>
      </w:r>
    </w:p>
    <w:p xmlns:wp14="http://schemas.microsoft.com/office/word/2010/wordml" w14:paraId="393CEFC6" wp14:textId="77777777">
      <w:pPr>
        <w:pStyle w:val="ListBullet"/>
        <w:spacing w:after="60"/>
        <w:ind w:left="720"/>
      </w:pPr>
      <w:r>
        <w:t>SuperGrid Institute, 05/12/2025: "Development of frequency-dependant DC models for multi-terminal DC grids"</w:t>
      </w:r>
    </w:p>
    <w:p xmlns:wp14="http://schemas.microsoft.com/office/word/2010/wordml" w14:paraId="634EC67C" wp14:textId="77777777">
      <w:pPr>
        <w:pStyle w:val="ListBullet"/>
        <w:spacing w:after="60"/>
        <w:ind w:left="720"/>
      </w:pPr>
      <w:r>
        <w:t>SuperGrid Institute, 08/10/2024: "Present and Future of DC Circuit Breakers for HVDC Grids"</w:t>
      </w:r>
    </w:p>
    <w:p xmlns:wp14="http://schemas.microsoft.com/office/word/2010/wordml" w14:paraId="2D087919" wp14:textId="77777777">
      <w:pPr>
        <w:pStyle w:val="ListBullet"/>
        <w:spacing w:after="60"/>
        <w:ind w:left="720"/>
      </w:pPr>
      <w:r>
        <w:t>U.S. Department of Energy, 01/05/2024: "Multi-terminal HVDC Grid: Current status and next steps"</w:t>
      </w:r>
    </w:p>
    <w:p xmlns:wp14="http://schemas.microsoft.com/office/word/2010/wordml" w14:paraId="03E91B81" wp14:textId="77777777">
      <w:pPr>
        <w:pStyle w:val="ListBullet"/>
        <w:spacing w:after="60"/>
        <w:ind w:left="720"/>
      </w:pPr>
      <w:r>
        <w:t>DNV, 2023: "What can we expect next for HVDC?"</w:t>
      </w:r>
    </w:p>
    <w:p xmlns:wp14="http://schemas.microsoft.com/office/word/2010/wordml" w14:paraId="427CA0A5" wp14:textId="77777777">
      <w:pPr>
        <w:pStyle w:val="Heading3"/>
      </w:pPr>
      <w:r>
        <w:t>Overige bronnen</w:t>
      </w:r>
    </w:p>
    <w:p xmlns:wp14="http://schemas.microsoft.com/office/word/2010/wordml" w14:paraId="0174307F" wp14:textId="77777777">
      <w:pPr>
        <w:pStyle w:val="ListBullet"/>
        <w:spacing w:after="60"/>
        <w:ind w:left="720"/>
      </w:pPr>
      <w:r>
        <w:t>PowerMag: "Industry Giants, German TSOs Team to Revolutionize HVDC Grid With Multi-Terminal Hubs"</w:t>
      </w:r>
    </w:p>
    <w:p xmlns:wp14="http://schemas.microsoft.com/office/word/2010/wordml" w14:paraId="3C82DA5D" wp14:textId="77777777">
      <w:pPr>
        <w:pStyle w:val="ListBullet"/>
        <w:spacing w:after="60"/>
        <w:ind w:left="720"/>
      </w:pPr>
      <w:r>
        <w:t>IEEE Spectrum: "HVDC Supergrid Technologies Besting Expectations"</w:t>
      </w:r>
    </w:p>
    <w:p xmlns:wp14="http://schemas.microsoft.com/office/word/2010/wordml" w14:paraId="7CCFF0F1" wp14:textId="77777777">
      <w:pPr>
        <w:pStyle w:val="ListBullet"/>
        <w:spacing w:after="60"/>
        <w:ind w:left="720"/>
      </w:pPr>
      <w:r>
        <w:t>CleanTechnica, 21/04/2023: "HVDC Is The New Pipeline"</w:t>
      </w:r>
    </w:p>
    <w:p xmlns:wp14="http://schemas.microsoft.com/office/word/2010/wordml" w14:paraId="7B8D21A9" wp14:textId="77777777">
      <w:pPr>
        <w:pStyle w:val="ListBullet"/>
        <w:spacing w:after="60"/>
        <w:ind w:left="720"/>
      </w:pPr>
      <w:r>
        <w:t>Eindrapport Ventilus-Intendant (28/02/2022), Guy Vloebergh</w:t>
      </w:r>
    </w:p>
    <w:p xmlns:wp14="http://schemas.microsoft.com/office/word/2010/wordml" w14:paraId="748A1D4C" wp14:textId="77777777">
      <w:pPr>
        <w:pStyle w:val="ListBullet"/>
        <w:spacing w:after="60"/>
        <w:ind w:left="720"/>
      </w:pPr>
      <w:r>
        <w:t>Parlementaire vraag nr. 1122 (Bart Dochy), Commissie Leefmilieu, 2 december 2025</w:t>
      </w:r>
    </w:p>
    <w:p xmlns:wp14="http://schemas.microsoft.com/office/word/2010/wordml" w14:paraId="44EAFD9C" wp14:textId="77777777">
      <w:pPr>
        <w:spacing w:before="240" w:after="240"/>
        <w:pBdr>
          <w:bottom w:val="single" w:color="CCCCCC" w:sz="6" w:space="1"/>
        </w:pBdr>
      </w:pPr>
    </w:p>
    <w:p xmlns:wp14="http://schemas.microsoft.com/office/word/2010/wordml" w14:paraId="4BE6FBEE" wp14:textId="77777777">
      <w:r>
        <w:rPr>
          <w:i/>
        </w:rPr>
        <w:t>Dit document is opgesteld op 20 februari 2026 als bijlage bij de thematische bezwaarschriften tegen het Ventilus-project (OMV 2025025781).</w:t>
      </w:r>
    </w:p>
    <w:sectPr w:rsidRPr="0006063C" w:rsidR="00FC693F" w:rsidSect="00034616">
      <w:pgSz w:w="12240" w:h="15840" w:orient="portrait"/>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C4ED419"/>
    <w:rsid w:val="2AC68A54"/>
    <w:rsid w:val="36F9644C"/>
    <w:rsid w:val="4FFA0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7A3C4BB7-59BD-44F8-9F37-1B3570122C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uiPriority w:val="0"/>
    <w:name w:val="Normal"/>
    <w:qFormat/>
    <w:rsid w:val="4FFA03D3"/>
    <w:rPr>
      <w:rFonts w:ascii="Calibri" w:hAnsi="Calibri"/>
      <w:noProof w:val="0"/>
      <w:lang w:val="nl-BE"/>
    </w:rPr>
    <w:pPr>
      <w:spacing w:after="120"/>
    </w:pPr>
  </w:style>
  <w:style w:type="paragraph" w:styleId="Header">
    <w:uiPriority w:val="99"/>
    <w:name w:val="header"/>
    <w:basedOn w:val="Normal"/>
    <w:unhideWhenUsed/>
    <w:link w:val="HeaderChar"/>
    <w:rsid w:val="4FFA03D3"/>
    <w:pPr>
      <w:tabs>
        <w:tab w:val="center" w:leader="none" w:pos="4680"/>
        <w:tab w:val="right" w:leader="none" w:pos="9360"/>
      </w:tabs>
      <w:spacing w:after="0"/>
    </w:pPr>
  </w:style>
  <w:style w:type="character" w:styleId="HeaderChar" w:customStyle="1">
    <w:name w:val="Header Char"/>
    <w:basedOn w:val="DefaultParagraphFont"/>
    <w:link w:val="Header"/>
    <w:uiPriority w:val="99"/>
    <w:rsid w:val="00E618BF"/>
  </w:style>
  <w:style w:type="paragraph" w:styleId="Footer">
    <w:uiPriority w:val="99"/>
    <w:name w:val="footer"/>
    <w:basedOn w:val="Normal"/>
    <w:unhideWhenUsed/>
    <w:link w:val="FooterChar"/>
    <w:rsid w:val="4FFA03D3"/>
    <w:pPr>
      <w:tabs>
        <w:tab w:val="center" w:leader="none" w:pos="4680"/>
        <w:tab w:val="right" w:leader="none" w:pos="9360"/>
      </w:tabs>
      <w:spacing w:after="0"/>
    </w:pPr>
  </w:style>
  <w:style w:type="character" w:styleId="FooterChar" w:customStyle="1">
    <w:name w:val="Footer Char"/>
    <w:basedOn w:val="DefaultParagraphFont"/>
    <w:link w:val="Footer"/>
    <w:uiPriority w:val="99"/>
    <w:rsid w:val="00E618BF"/>
  </w:style>
  <w:style w:type="paragraph" w:styleId="Heading1">
    <w:uiPriority w:val="9"/>
    <w:name w:val="heading 1"/>
    <w:basedOn w:val="Normal"/>
    <w:next w:val="Normal"/>
    <w:link w:val="Heading1Char"/>
    <w:qFormat/>
    <w:rsid w:val="4FFA03D3"/>
    <w:rPr>
      <w:rFonts w:eastAsia="ＭＳ ゴシック" w:cs="" w:asciiTheme="majorAscii" w:hAnsiTheme="majorAscii" w:eastAsiaTheme="majorEastAsia" w:cstheme="majorBidi"/>
      <w:b w:val="1"/>
      <w:bCs w:val="1"/>
      <w:color w:val="1F3864"/>
      <w:sz w:val="36"/>
      <w:szCs w:val="36"/>
    </w:rPr>
    <w:pPr>
      <w:keepNext w:val="1"/>
      <w:keepLines w:val="1"/>
      <w:spacing w:before="480" w:after="240"/>
      <w:outlineLvl w:val="0"/>
    </w:pPr>
  </w:style>
  <w:style w:type="paragraph" w:styleId="Heading2">
    <w:uiPriority w:val="9"/>
    <w:name w:val="heading 2"/>
    <w:basedOn w:val="Normal"/>
    <w:next w:val="Normal"/>
    <w:unhideWhenUsed/>
    <w:link w:val="Heading2Char"/>
    <w:qFormat/>
    <w:rsid w:val="4FFA03D3"/>
    <w:rPr>
      <w:rFonts w:eastAsia="ＭＳ ゴシック" w:cs="" w:asciiTheme="majorAscii" w:hAnsiTheme="majorAscii" w:eastAsiaTheme="majorEastAsia" w:cstheme="majorBidi"/>
      <w:b w:val="1"/>
      <w:bCs w:val="1"/>
      <w:color w:val="1F3864"/>
      <w:sz w:val="28"/>
      <w:szCs w:val="28"/>
    </w:rPr>
    <w:pPr>
      <w:keepNext w:val="1"/>
      <w:keepLines w:val="1"/>
      <w:spacing w:before="360" w:after="160"/>
      <w:outlineLvl w:val="1"/>
    </w:pPr>
  </w:style>
  <w:style w:type="paragraph" w:styleId="Heading3">
    <w:uiPriority w:val="9"/>
    <w:name w:val="heading 3"/>
    <w:basedOn w:val="Normal"/>
    <w:next w:val="Normal"/>
    <w:unhideWhenUsed/>
    <w:link w:val="Heading3Char"/>
    <w:qFormat/>
    <w:rsid w:val="4FFA03D3"/>
    <w:rPr>
      <w:rFonts w:eastAsia="ＭＳ ゴシック" w:cs="" w:asciiTheme="majorAscii" w:hAnsiTheme="majorAscii" w:eastAsiaTheme="majorEastAsia" w:cstheme="majorBidi"/>
      <w:b w:val="1"/>
      <w:bCs w:val="1"/>
      <w:color w:val="1F3864"/>
      <w:sz w:val="24"/>
      <w:szCs w:val="24"/>
    </w:rPr>
    <w:pPr>
      <w:keepNext w:val="1"/>
      <w:keepLines w:val="1"/>
      <w:spacing w:before="240"/>
      <w:outlineLvl w:val="2"/>
    </w:pPr>
  </w:style>
  <w:style w:type="paragraph" w:styleId="Heading4">
    <w:uiPriority w:val="9"/>
    <w:name w:val="heading 4"/>
    <w:basedOn w:val="Normal"/>
    <w:next w:val="Normal"/>
    <w:semiHidden/>
    <w:unhideWhenUsed/>
    <w:link w:val="Heading4Char"/>
    <w:qFormat/>
    <w:rsid w:val="4FFA03D3"/>
    <w:rPr>
      <w:rFonts w:eastAsia="ＭＳ ゴシック" w:cs="" w:asciiTheme="majorAscii" w:hAnsiTheme="majorAscii" w:eastAsiaTheme="majorEastAsia" w:cstheme="majorBidi"/>
      <w:b w:val="1"/>
      <w:bCs w:val="1"/>
      <w:i w:val="1"/>
      <w:iCs w:val="1"/>
      <w:color w:val="1F3864"/>
    </w:rPr>
    <w:pPr>
      <w:keepNext w:val="1"/>
      <w:keepLines w:val="1"/>
      <w:spacing w:before="200" w:after="80"/>
      <w:outlineLvl w:val="3"/>
    </w:pPr>
  </w:style>
  <w:style w:type="paragraph" w:styleId="Heading5">
    <w:uiPriority w:val="9"/>
    <w:name w:val="heading 5"/>
    <w:basedOn w:val="Normal"/>
    <w:next w:val="Normal"/>
    <w:semiHidden/>
    <w:unhideWhenUsed/>
    <w:link w:val="Heading5Char"/>
    <w:qFormat/>
    <w:rsid w:val="4FFA03D3"/>
    <w:rPr>
      <w:rFonts w:eastAsia="ＭＳ ゴシック" w:cs="" w:asciiTheme="majorAscii" w:hAnsiTheme="majorAscii" w:eastAsiaTheme="majorEastAsia" w:cstheme="majorBidi"/>
      <w:color w:val="243F60"/>
    </w:rPr>
    <w:pPr>
      <w:keepNext w:val="1"/>
      <w:keepLines w:val="1"/>
      <w:spacing w:before="200" w:after="0"/>
      <w:outlineLvl w:val="4"/>
    </w:pPr>
  </w:style>
  <w:style w:type="paragraph" w:styleId="Heading6">
    <w:uiPriority w:val="9"/>
    <w:name w:val="heading 6"/>
    <w:basedOn w:val="Normal"/>
    <w:next w:val="Normal"/>
    <w:semiHidden/>
    <w:unhideWhenUsed/>
    <w:link w:val="Heading6Char"/>
    <w:qFormat/>
    <w:rsid w:val="4FFA03D3"/>
    <w:rPr>
      <w:rFonts w:eastAsia="ＭＳ ゴシック" w:cs="" w:asciiTheme="majorAscii" w:hAnsiTheme="majorAscii" w:eastAsiaTheme="majorEastAsia" w:cstheme="majorBidi"/>
      <w:i w:val="1"/>
      <w:iCs w:val="1"/>
      <w:color w:val="243F60"/>
    </w:rPr>
    <w:pPr>
      <w:keepNext w:val="1"/>
      <w:keepLines w:val="1"/>
      <w:spacing w:before="200" w:after="0"/>
      <w:outlineLvl w:val="5"/>
    </w:pPr>
  </w:style>
  <w:style w:type="paragraph" w:styleId="Heading7">
    <w:uiPriority w:val="9"/>
    <w:name w:val="heading 7"/>
    <w:basedOn w:val="Normal"/>
    <w:next w:val="Normal"/>
    <w:semiHidden/>
    <w:unhideWhenUsed/>
    <w:link w:val="Heading7Char"/>
    <w:qFormat/>
    <w:rsid w:val="4FFA03D3"/>
    <w:rPr>
      <w:rFonts w:eastAsia="ＭＳ ゴシック" w:cs="" w:asciiTheme="majorAscii" w:hAnsiTheme="majorAscii" w:eastAsiaTheme="majorEastAsia" w:cstheme="majorBidi"/>
      <w:i w:val="1"/>
      <w:iCs w:val="1"/>
      <w:color w:val="404040" w:themeColor="text1" w:themeTint="BF" w:themeShade="FF"/>
    </w:rPr>
    <w:pPr>
      <w:keepNext w:val="1"/>
      <w:keepLines w:val="1"/>
      <w:spacing w:before="200" w:after="0"/>
      <w:outlineLvl w:val="6"/>
    </w:pPr>
  </w:style>
  <w:style w:type="paragraph" w:styleId="Heading8">
    <w:uiPriority w:val="9"/>
    <w:name w:val="heading 8"/>
    <w:basedOn w:val="Normal"/>
    <w:next w:val="Normal"/>
    <w:semiHidden/>
    <w:unhideWhenUsed/>
    <w:link w:val="Heading8Char"/>
    <w:qFormat/>
    <w:rsid w:val="4FFA03D3"/>
    <w:rPr>
      <w:rFonts w:eastAsia="ＭＳ ゴシック" w:cs="" w:asciiTheme="majorAscii" w:hAnsiTheme="majorAscii" w:eastAsiaTheme="majorEastAsia" w:cstheme="majorBidi"/>
      <w:color w:val="4F81BD" w:themeColor="accent1" w:themeTint="FF" w:themeShade="FF"/>
      <w:sz w:val="20"/>
      <w:szCs w:val="20"/>
    </w:rPr>
    <w:pPr>
      <w:keepNext w:val="1"/>
      <w:keepLines w:val="1"/>
      <w:spacing w:before="200" w:after="0"/>
      <w:outlineLvl w:val="7"/>
    </w:pPr>
  </w:style>
  <w:style w:type="paragraph" w:styleId="Heading9">
    <w:uiPriority w:val="9"/>
    <w:name w:val="heading 9"/>
    <w:basedOn w:val="Normal"/>
    <w:next w:val="Normal"/>
    <w:semiHidden/>
    <w:unhideWhenUsed/>
    <w:link w:val="Heading9Char"/>
    <w:qFormat/>
    <w:rsid w:val="4FFA03D3"/>
    <w:rPr>
      <w:rFonts w:eastAsia="ＭＳ ゴシック" w:cs="" w:asciiTheme="majorAscii" w:hAnsiTheme="majorAscii" w:eastAsiaTheme="majorEastAsia" w:cstheme="majorBidi"/>
      <w:i w:val="1"/>
      <w:iCs w:val="1"/>
      <w:color w:val="404040" w:themeColor="text1" w:themeTint="BF" w:themeShade="FF"/>
      <w:sz w:val="20"/>
      <w:szCs w:val="20"/>
    </w:rPr>
    <w:pPr>
      <w:keepNext w:val="1"/>
      <w:keepLines w:val="1"/>
      <w:spacing w:before="200"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uiPriority w:val="10"/>
    <w:name w:val="Title"/>
    <w:basedOn w:val="Normal"/>
    <w:next w:val="Normal"/>
    <w:link w:val="TitleChar"/>
    <w:qFormat/>
    <w:rsid w:val="4FFA03D3"/>
    <w:rPr>
      <w:rFonts w:eastAsia="ＭＳ ゴシック" w:cs="" w:asciiTheme="majorAscii" w:hAnsiTheme="majorAscii" w:eastAsiaTheme="majorEastAsia" w:cstheme="majorBidi"/>
      <w:color w:val="17365D" w:themeColor="text2" w:themeTint="FF" w:themeShade="BF"/>
      <w:sz w:val="52"/>
      <w:szCs w:val="52"/>
    </w:rPr>
    <w:pPr>
      <w:pBdr>
        <w:bottom w:val="single" w:color="4F81BD" w:themeColor="accent1" w:sz="8" w:space="4"/>
      </w:pBdr>
      <w:spacing w:after="300"/>
      <w:contextualSpacing/>
    </w:p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uiPriority w:val="11"/>
    <w:name w:val="Subtitle"/>
    <w:basedOn w:val="Normal"/>
    <w:next w:val="Normal"/>
    <w:link w:val="SubtitleChar"/>
    <w:qFormat/>
    <w:rsid w:val="4FFA03D3"/>
    <w:rPr>
      <w:rFonts w:eastAsia="ＭＳ ゴシック" w:cs="" w:asciiTheme="majorAscii" w:hAnsiTheme="majorAscii" w:eastAsiaTheme="majorEastAsia" w:cstheme="majorBidi"/>
      <w:i w:val="1"/>
      <w:iCs w:val="1"/>
      <w:color w:val="4F81BD" w:themeColor="accent1" w:themeTint="FF" w:themeShade="FF"/>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uiPriority w:val="34"/>
    <w:name w:val="List Paragraph"/>
    <w:basedOn w:val="Normal"/>
    <w:qFormat/>
    <w:rsid w:val="4FFA03D3"/>
    <w:pPr>
      <w:spacing/>
      <w:ind w:left="720"/>
      <w:contextualSpacing/>
    </w:pPr>
  </w:style>
  <w:style w:type="paragraph" w:styleId="BodyText">
    <w:uiPriority w:val="99"/>
    <w:name w:val="Body Text"/>
    <w:basedOn w:val="Normal"/>
    <w:unhideWhenUsed/>
    <w:link w:val="BodyTextChar"/>
    <w:rsid w:val="4FFA03D3"/>
  </w:style>
  <w:style w:type="character" w:styleId="BodyTextChar" w:customStyle="1">
    <w:name w:val="Body Text Char"/>
    <w:basedOn w:val="DefaultParagraphFont"/>
    <w:link w:val="BodyText"/>
    <w:uiPriority w:val="99"/>
    <w:rsid w:val="00AA1D8D"/>
  </w:style>
  <w:style w:type="paragraph" w:styleId="BodyText2">
    <w:uiPriority w:val="99"/>
    <w:name w:val="Body Text 2"/>
    <w:basedOn w:val="Normal"/>
    <w:unhideWhenUsed/>
    <w:link w:val="BodyText2Char"/>
    <w:rsid w:val="4FFA03D3"/>
  </w:style>
  <w:style w:type="character" w:styleId="BodyText2Char" w:customStyle="1">
    <w:name w:val="Body Text 2 Char"/>
    <w:basedOn w:val="DefaultParagraphFont"/>
    <w:link w:val="BodyText2"/>
    <w:uiPriority w:val="99"/>
    <w:rsid w:val="00AA1D8D"/>
  </w:style>
  <w:style w:type="paragraph" w:styleId="BodyText3">
    <w:uiPriority w:val="99"/>
    <w:name w:val="Body Text 3"/>
    <w:basedOn w:val="Normal"/>
    <w:unhideWhenUsed/>
    <w:link w:val="BodyText3Char"/>
    <w:rsid w:val="4FFA03D3"/>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uiPriority w:val="99"/>
    <w:name w:val="List"/>
    <w:basedOn w:val="Normal"/>
    <w:unhideWhenUsed/>
    <w:rsid w:val="4FFA03D3"/>
    <w:pPr>
      <w:spacing/>
      <w:ind w:left="360" w:hanging="360"/>
      <w:contextualSpacing/>
    </w:pPr>
  </w:style>
  <w:style w:type="paragraph" w:styleId="List2">
    <w:uiPriority w:val="99"/>
    <w:name w:val="List 2"/>
    <w:basedOn w:val="Normal"/>
    <w:unhideWhenUsed/>
    <w:rsid w:val="4FFA03D3"/>
    <w:pPr>
      <w:spacing/>
      <w:ind w:left="720" w:hanging="360"/>
      <w:contextualSpacing/>
    </w:pPr>
  </w:style>
  <w:style w:type="paragraph" w:styleId="List3">
    <w:uiPriority w:val="99"/>
    <w:name w:val="List 3"/>
    <w:basedOn w:val="Normal"/>
    <w:unhideWhenUsed/>
    <w:rsid w:val="4FFA03D3"/>
    <w:pPr>
      <w:spacing/>
      <w:ind w:left="1080" w:hanging="360"/>
      <w:contextualSpacing/>
    </w:pPr>
  </w:style>
  <w:style w:type="paragraph" w:styleId="ListBullet">
    <w:uiPriority w:val="99"/>
    <w:name w:val="List Bullet"/>
    <w:basedOn w:val="Normal"/>
    <w:unhideWhenUsed/>
    <w:rsid w:val="4FFA03D3"/>
    <w:pPr>
      <w:numPr>
        <w:numId w:val="1"/>
      </w:numPr>
      <w:spacing/>
      <w:contextualSpacing/>
    </w:pPr>
  </w:style>
  <w:style w:type="paragraph" w:styleId="ListBullet2">
    <w:uiPriority w:val="99"/>
    <w:name w:val="List Bullet 2"/>
    <w:basedOn w:val="Normal"/>
    <w:unhideWhenUsed/>
    <w:rsid w:val="4FFA03D3"/>
    <w:pPr>
      <w:numPr>
        <w:numId w:val="2"/>
      </w:numPr>
      <w:spacing/>
      <w:contextualSpacing/>
    </w:pPr>
  </w:style>
  <w:style w:type="paragraph" w:styleId="ListBullet3">
    <w:uiPriority w:val="99"/>
    <w:name w:val="List Bullet 3"/>
    <w:basedOn w:val="Normal"/>
    <w:unhideWhenUsed/>
    <w:rsid w:val="4FFA03D3"/>
    <w:pPr>
      <w:numPr>
        <w:numId w:val="3"/>
      </w:numPr>
      <w:spacing/>
      <w:contextualSpacing/>
    </w:pPr>
  </w:style>
  <w:style w:type="paragraph" w:styleId="ListNumber">
    <w:uiPriority w:val="99"/>
    <w:name w:val="List Number"/>
    <w:basedOn w:val="Normal"/>
    <w:unhideWhenUsed/>
    <w:rsid w:val="4FFA03D3"/>
    <w:pPr>
      <w:numPr>
        <w:numId w:val="5"/>
      </w:numPr>
      <w:spacing/>
      <w:contextualSpacing/>
    </w:pPr>
  </w:style>
  <w:style w:type="paragraph" w:styleId="ListNumber2">
    <w:uiPriority w:val="99"/>
    <w:name w:val="List Number 2"/>
    <w:basedOn w:val="Normal"/>
    <w:unhideWhenUsed/>
    <w:rsid w:val="4FFA03D3"/>
    <w:pPr>
      <w:numPr>
        <w:numId w:val="6"/>
      </w:numPr>
      <w:spacing/>
      <w:contextualSpacing/>
    </w:pPr>
  </w:style>
  <w:style w:type="paragraph" w:styleId="ListNumber3">
    <w:uiPriority w:val="99"/>
    <w:name w:val="List Number 3"/>
    <w:basedOn w:val="Normal"/>
    <w:unhideWhenUsed/>
    <w:rsid w:val="4FFA03D3"/>
    <w:pPr>
      <w:numPr>
        <w:numId w:val="7"/>
      </w:numPr>
      <w:spacing/>
      <w:contextualSpacing/>
    </w:pPr>
  </w:style>
  <w:style w:type="paragraph" w:styleId="ListContinue">
    <w:uiPriority w:val="99"/>
    <w:name w:val="List Continue"/>
    <w:basedOn w:val="Normal"/>
    <w:unhideWhenUsed/>
    <w:rsid w:val="4FFA03D3"/>
    <w:pPr>
      <w:spacing/>
      <w:ind w:left="360"/>
      <w:contextualSpacing/>
    </w:pPr>
  </w:style>
  <w:style w:type="paragraph" w:styleId="ListContinue2">
    <w:uiPriority w:val="99"/>
    <w:name w:val="List Continue 2"/>
    <w:basedOn w:val="Normal"/>
    <w:unhideWhenUsed/>
    <w:rsid w:val="4FFA03D3"/>
    <w:pPr>
      <w:spacing/>
      <w:ind w:left="720"/>
      <w:contextualSpacing/>
    </w:pPr>
  </w:style>
  <w:style w:type="paragraph" w:styleId="ListContinue3">
    <w:uiPriority w:val="99"/>
    <w:name w:val="List Continue 3"/>
    <w:basedOn w:val="Normal"/>
    <w:unhideWhenUsed/>
    <w:rsid w:val="4FFA03D3"/>
    <w:pPr>
      <w:spacing/>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uiPriority w:val="29"/>
    <w:name w:val="Quote"/>
    <w:basedOn w:val="Normal"/>
    <w:next w:val="Normal"/>
    <w:link w:val="QuoteChar"/>
    <w:qFormat/>
    <w:rsid w:val="4FFA03D3"/>
    <w:rPr>
      <w:i w:val="1"/>
      <w:iCs w:val="1"/>
      <w:color w:val="000000" w:themeColor="text1" w:themeTint="FF" w:themeShade="FF"/>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uiPriority w:val="35"/>
    <w:name w:val="caption"/>
    <w:basedOn w:val="Normal"/>
    <w:next w:val="Normal"/>
    <w:semiHidden/>
    <w:unhideWhenUsed/>
    <w:qFormat/>
    <w:rsid w:val="4FFA03D3"/>
    <w:rPr>
      <w:b w:val="1"/>
      <w:bCs w:val="1"/>
      <w:color w:val="4F81BD" w:themeColor="accent1" w:themeTint="FF" w:themeShade="FF"/>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uiPriority w:val="30"/>
    <w:name w:val="Intense Quote"/>
    <w:basedOn w:val="Normal"/>
    <w:next w:val="Normal"/>
    <w:link w:val="IntenseQuoteChar"/>
    <w:qFormat/>
    <w:rsid w:val="4FFA03D3"/>
    <w:rPr>
      <w:b w:val="1"/>
      <w:bCs w:val="1"/>
      <w:i w:val="1"/>
      <w:iCs w:val="1"/>
      <w:color w:val="4F81BD" w:themeColor="accent1" w:themeTint="FF" w:themeShade="FF"/>
    </w:rPr>
    <w:pPr>
      <w:pBdr>
        <w:bottom w:val="single" w:color="4F81BD" w:themeColor="accent1" w:sz="4" w:space="4"/>
      </w:pBdr>
      <w:spacing w:before="200" w:after="280"/>
      <w:ind w:left="936" w:right="936"/>
    </w:p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Heidi Deleu</lastModifiedBy>
  <revision>2</revision>
  <dcterms:created xsi:type="dcterms:W3CDTF">2013-12-23T23:15:00.0000000Z</dcterms:created>
  <dcterms:modified xsi:type="dcterms:W3CDTF">2026-02-22T19:03:15.8914004Z</dcterms:modified>
  <category/>
</coreProperties>
</file>