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14:paraId="5CB4A15E" wp14:textId="77777777">
      <w:pPr>
        <w:pStyle w:val="Heading1"/>
      </w:pPr>
      <w:r>
        <w:t>THEMATISCH BEZWAARSCHRIFT: GELUID EN KLIMAAT</w:t>
      </w:r>
    </w:p>
    <w:p xmlns:wp14="http://schemas.microsoft.com/office/word/2010/wordml" w14:paraId="3B297612" wp14:textId="77777777">
      <w:pPr>
        <w:pStyle w:val="Heading2"/>
      </w:pPr>
      <w:r>
        <w:t>Ventilus 380kV hoogspanningsverbinding Gezelle-Izegem</w:t>
      </w:r>
    </w:p>
    <w:p xmlns:wp14="http://schemas.microsoft.com/office/word/2010/wordml" w14:paraId="0B4EE9C9" wp14:textId="77777777">
      <w:pPr>
        <w:pStyle w:val="Heading2"/>
      </w:pPr>
      <w:r>
        <w:t>OMV-referentie: 2025025781</w:t>
      </w:r>
    </w:p>
    <w:p xmlns:wp14="http://schemas.microsoft.com/office/word/2010/wordml" w14:paraId="672A6659" wp14:textId="77777777">
      <w:pPr>
        <w:spacing w:before="240" w:after="240"/>
        <w:pBdr>
          <w:bottom w:val="single" w:color="CCCCCC" w:sz="6" w:space="1"/>
        </w:pBdr>
      </w:pPr>
    </w:p>
    <w:p xmlns:wp14="http://schemas.microsoft.com/office/word/2010/wordml" w14:paraId="592B1137" wp14:textId="77777777">
      <w:r>
        <w:rPr>
          <w:b/>
        </w:rPr>
        <w:t>Aan:</w:t>
      </w:r>
      <w:r>
        <w:t xml:space="preserve"> De bevoegde vergunningverlenende overheid</w:t>
      </w:r>
    </w:p>
    <w:p xmlns:wp14="http://schemas.microsoft.com/office/word/2010/wordml" w14:paraId="42771947" wp14:textId="77777777">
      <w:r>
        <w:rPr>
          <w:b/>
        </w:rPr>
        <w:t>Betreft:</w:t>
      </w:r>
      <w:r>
        <w:t xml:space="preserve"> Thematisch bezwaarschrift GELUID EN KLIMAAT tegen de aanvraag tot omgevingsvergunning voor de aanleg van een 380 kV hoogspanningsverbinding (Ventilus), ingediend door Elia Asset NV, Keizerslaan 20, 1000 Brussel</w:t>
      </w:r>
    </w:p>
    <w:p xmlns:wp14="http://schemas.microsoft.com/office/word/2010/wordml" w14:paraId="65D99A06" wp14:textId="77777777">
      <w:r>
        <w:rPr>
          <w:b/>
        </w:rPr>
        <w:t>OMV-referentie:</w:t>
      </w:r>
      <w:r>
        <w:t xml:space="preserve"> 2025025781</w:t>
      </w:r>
    </w:p>
    <w:p xmlns:wp14="http://schemas.microsoft.com/office/word/2010/wordml" w14:paraId="0A37501D" wp14:textId="77777777">
      <w:pPr>
        <w:spacing w:before="240" w:after="240"/>
        <w:pBdr>
          <w:bottom w:val="single" w:color="CCCCCC" w:sz="6" w:space="1"/>
        </w:pBdr>
      </w:pPr>
    </w:p>
    <w:p xmlns:wp14="http://schemas.microsoft.com/office/word/2010/wordml" w:rsidP="40D61EFF" w14:paraId="0EF44701" wp14:textId="322BB1DF">
      <w:pPr>
        <w:pStyle w:val="Heading2"/>
      </w:pPr>
      <w:r w:rsidR="40D61EFF">
        <w:rPr/>
        <w:t xml:space="preserve">1. </w:t>
      </w:r>
      <w:r w:rsidR="40D61EFF">
        <w:rPr/>
        <w:t xml:space="preserve"> </w:t>
      </w:r>
      <w:r w:rsidR="40D61EFF">
        <w:rPr/>
        <w:t>Verwijzing</w:t>
      </w:r>
      <w:r w:rsidR="40D61EFF">
        <w:rPr/>
        <w:t xml:space="preserve"> </w:t>
      </w:r>
      <w:r w:rsidR="40D61EFF">
        <w:rPr/>
        <w:t>naar</w:t>
      </w:r>
      <w:r w:rsidR="40D61EFF">
        <w:rPr/>
        <w:t xml:space="preserve"> </w:t>
      </w:r>
      <w:r w:rsidR="40D61EFF">
        <w:rPr/>
        <w:t>generiek</w:t>
      </w:r>
      <w:r w:rsidR="40D61EFF">
        <w:rPr/>
        <w:t xml:space="preserve"> </w:t>
      </w:r>
      <w:r w:rsidR="40D61EFF">
        <w:rPr/>
        <w:t>bezwaarschrift</w:t>
      </w:r>
    </w:p>
    <w:p xmlns:wp14="http://schemas.microsoft.com/office/word/2010/wordml" w14:paraId="3613DF2D" wp14:textId="77777777">
      <w:r w:rsidR="40D61EFF">
        <w:rPr/>
        <w:t xml:space="preserve">Dit thematisch bezwaarschrift vormt een </w:t>
      </w:r>
      <w:r w:rsidRPr="40D61EFF" w:rsidR="40D61EFF">
        <w:rPr>
          <w:b w:val="1"/>
          <w:bCs w:val="1"/>
        </w:rPr>
        <w:t>verdieping</w:t>
      </w:r>
      <w:r w:rsidR="40D61EFF">
        <w:rPr/>
        <w:t xml:space="preserve"> van het generiek bezwaarschrift dat ondergetekende eveneens heeft ingediend tegen OMV 2025025781. De formele bezwaren (Track Changes, verwijderde conclusies, kapotte verwijzingen, identieke KRW-aanvragen), de procedurele bezwaren (ontbrekend alternatieven-onderzoek, saucissonnering, schending Aarhus) en de systematische gebreken (EMF zonder effectscore, niet-bindende maatregelen, niet-toepassing voorzorgsbeginsel) worden als herhaald en ingelast beschouwd. Het onderhavige bezwaarschrift richt zich specifiek op de discipline </w:t>
      </w:r>
      <w:r w:rsidRPr="40D61EFF" w:rsidR="40D61EFF">
        <w:rPr>
          <w:b w:val="1"/>
          <w:bCs w:val="1"/>
        </w:rPr>
        <w:t>geluid en trillingen</w:t>
      </w:r>
      <w:r w:rsidR="40D61EFF">
        <w:rPr/>
        <w:t xml:space="preserve"> zoals behandeld in Hoofdstuk 12 van het project-MER v4, aangevuld met de discipline </w:t>
      </w:r>
      <w:r w:rsidRPr="40D61EFF" w:rsidR="40D61EFF">
        <w:rPr>
          <w:b w:val="1"/>
          <w:bCs w:val="1"/>
        </w:rPr>
        <w:t>klimaat en veiligheid</w:t>
      </w:r>
      <w:r w:rsidR="40D61EFF">
        <w:rPr/>
        <w:t xml:space="preserve"> uit Hoofdstuk 16-17.</w:t>
      </w:r>
    </w:p>
    <w:p xmlns:wp14="http://schemas.microsoft.com/office/word/2010/wordml" w14:paraId="2EEAE129" wp14:textId="77777777">
      <w:r>
        <w:t>De indiener heeft belang bij de bescherming tegen structurele geluidshinder, de naleving van het recht op een gezond leefmilieu, en de correcte beoordeling van klimaateffecten overeenkomstig de EU-klimaatwetgeving.</w:t>
      </w:r>
    </w:p>
    <w:p xmlns:wp14="http://schemas.microsoft.com/office/word/2010/wordml" w14:paraId="5DAB6C7B" wp14:textId="77777777">
      <w:pPr>
        <w:spacing w:before="240" w:after="240"/>
        <w:pBdr>
          <w:bottom w:val="single" w:color="CCCCCC" w:sz="6" w:space="1"/>
        </w:pBdr>
      </w:pPr>
    </w:p>
    <w:p xmlns:wp14="http://schemas.microsoft.com/office/word/2010/wordml" w14:paraId="157D3DC3" wp14:textId="77777777">
      <w:pPr>
        <w:pStyle w:val="Heading2"/>
      </w:pPr>
      <w:r>
        <w:t>2. JURIDISCH VACUÜM: GEEN AFDWINGBARE GELUIDSNORM</w:t>
      </w:r>
    </w:p>
    <w:p xmlns:wp14="http://schemas.microsoft.com/office/word/2010/wordml" w14:paraId="403D0C9E" wp14:textId="77777777">
      <w:pPr>
        <w:pStyle w:val="Heading3"/>
      </w:pPr>
      <w:r>
        <w:t>2.1 Hoogspanningslijnen vallen buiten VLAREM II</w:t>
      </w:r>
    </w:p>
    <w:p xmlns:wp14="http://schemas.microsoft.com/office/word/2010/wordml" w14:paraId="0636BC22" wp14:textId="77777777">
      <w:r>
        <w:t>Het MER erkent expliciet:</w:t>
      </w:r>
    </w:p>
    <w:p xmlns:wp14="http://schemas.microsoft.com/office/word/2010/wordml" w14:paraId="0405DE58" wp14:textId="77777777">
      <w:pPr>
        <w:spacing w:before="120" w:after="120"/>
        <w:ind w:left="850"/>
        <w:pBdr>
          <w:left w:val="single" w:color="999999" w:sz="12" w:space="8"/>
        </w:pBdr>
      </w:pPr>
      <w:r>
        <w:rPr>
          <w:i/>
          <w:color w:val="444444"/>
        </w:rPr>
        <w:t>"Hoogspanningsverbindingen zijn eveneens geen ingedeelde inrichtingen en kunnen dus niet getoetst worden aan bijlage 4.5.3 of 4.5.4 van Vlarem II."</w:t>
      </w:r>
      <w:r>
        <w:rPr>
          <w:i/>
          <w:color w:val="444444"/>
        </w:rPr>
        <w:t xml:space="preserve"> (p. 12-6, 12-25)</w:t>
      </w:r>
    </w:p>
    <w:p xmlns:wp14="http://schemas.microsoft.com/office/word/2010/wordml" w14:paraId="488B89A1" wp14:textId="77777777">
      <w:r>
        <w:t xml:space="preserve">Hoogspanningslijnen zijn </w:t>
      </w:r>
      <w:r>
        <w:rPr>
          <w:b/>
        </w:rPr>
        <w:t>geen ingedeelde inrichtingen</w:t>
      </w:r>
      <w:r>
        <w:t xml:space="preserve"> volgens VLAREM II. Dit betekent dat er voor het permanente corona-geluid dat deze lijnen produceren </w:t>
      </w:r>
      <w:r>
        <w:rPr>
          <w:b/>
        </w:rPr>
        <w:t>geen wettelijk afdwingbare grenswaarde</w:t>
      </w:r>
      <w:r>
        <w:t xml:space="preserve"> bestaat. De bewoners langs het trace worden blootgesteld aan structureel geluid zonder enige wettelijke bescherming.</w:t>
      </w:r>
    </w:p>
    <w:p xmlns:wp14="http://schemas.microsoft.com/office/word/2010/wordml" w14:paraId="0416DBCB" wp14:textId="77777777">
      <w:r>
        <w:t xml:space="preserve">De enige norm waaraan het MER toetst, is de NBN EN 50341-2-2:2019, met een </w:t>
      </w:r>
      <w:r>
        <w:rPr>
          <w:i/>
        </w:rPr>
        <w:t>"aanbeveling"</w:t>
      </w:r>
      <w:r>
        <w:t xml:space="preserve"> (geen wettelijke verplichting) van 53 dB(A) bij slecht weer en 40 dB(A) bij goed weer, gemeten op 20 meter afstand. Deze norm definieert niet eens ondubbelzinnig wat "slecht weer" en "goed weer" inhouden (p. 12-6).</w:t>
      </w:r>
    </w:p>
    <w:p xmlns:wp14="http://schemas.microsoft.com/office/word/2010/wordml" w14:paraId="7C94DB54" wp14:textId="77777777">
      <w:r>
        <w:t xml:space="preserve">De milieukwaliteitsnormen (MKN) van VLAREM II -- 45 dB(A) overdag, 40 dB(A) 's avonds en 35 dB(A) 's nachts in woongebied -- zijn weliswaar inhoudelijk relevant maar </w:t>
      </w:r>
      <w:r>
        <w:rPr>
          <w:b/>
        </w:rPr>
        <w:t>juridisch niet afdwingbaar</w:t>
      </w:r>
      <w:r>
        <w:t xml:space="preserve"> voor hoogspanningslijnen.</w:t>
      </w:r>
    </w:p>
    <w:p xmlns:wp14="http://schemas.microsoft.com/office/word/2010/wordml" w14:paraId="68B11A7C" wp14:textId="77777777">
      <w:r>
        <w:t>Dit juridisch vacuüm is onverenigbaar met:</w:t>
      </w:r>
    </w:p>
    <w:p xmlns:wp14="http://schemas.microsoft.com/office/word/2010/wordml" w14:paraId="1C34B49B" wp14:textId="77777777">
      <w:pPr>
        <w:pStyle w:val="ListBullet"/>
        <w:spacing w:after="60"/>
        <w:ind w:left="720"/>
      </w:pPr>
      <w:r>
        <w:rPr>
          <w:b/>
        </w:rPr>
        <w:t>Art. 23 Grondwet:</w:t>
      </w:r>
      <w:r>
        <w:t xml:space="preserve"> het recht op bescherming van een gezond leefmilieu;</w:t>
      </w:r>
    </w:p>
    <w:p xmlns:wp14="http://schemas.microsoft.com/office/word/2010/wordml" w14:paraId="336AB655" wp14:textId="77777777">
      <w:pPr>
        <w:pStyle w:val="ListBullet"/>
        <w:spacing w:after="60"/>
        <w:ind w:left="720"/>
      </w:pPr>
      <w:r>
        <w:rPr>
          <w:b/>
        </w:rPr>
        <w:t>Richtlijn 2002/49/EG (Omgevingslawaai):</w:t>
      </w:r>
      <w:r>
        <w:t xml:space="preserve"> vereist bescherming tegen schadelijke niveaus omgevingslawaai, zonder vrijstelling voor hoogspanningsinfrastructuur;</w:t>
      </w:r>
    </w:p>
    <w:p xmlns:wp14="http://schemas.microsoft.com/office/word/2010/wordml" w14:paraId="3EAF8C14" wp14:textId="77777777">
      <w:pPr>
        <w:pStyle w:val="ListBullet"/>
        <w:spacing w:after="60"/>
        <w:ind w:left="720"/>
      </w:pPr>
      <w:r>
        <w:rPr>
          <w:b/>
        </w:rPr>
        <w:t>Art. 8 EVRM:</w:t>
      </w:r>
      <w:r>
        <w:t xml:space="preserve"> het recht op respect voor het prive- en gezinsleven (EHRM-jurisprudentie inzake milieugeluid: Hatton t. Verenigd Koninkrijk; Moreno Gomez t. Spanje);</w:t>
      </w:r>
    </w:p>
    <w:p xmlns:wp14="http://schemas.microsoft.com/office/word/2010/wordml" w14:paraId="2FBD4411" wp14:textId="77777777">
      <w:pPr>
        <w:pStyle w:val="ListBullet"/>
        <w:spacing w:after="60"/>
        <w:ind w:left="720"/>
      </w:pPr>
      <w:r>
        <w:rPr>
          <w:b/>
        </w:rPr>
        <w:t>Art. 191 lid 2 VWEU (voorzorgsbeginsel):</w:t>
      </w:r>
      <w:r>
        <w:t xml:space="preserve"> vereist beschermende maatregelen bij onzekerheid over gezondheidseffecten.</w:t>
      </w:r>
    </w:p>
    <w:p xmlns:wp14="http://schemas.microsoft.com/office/word/2010/wordml" w14:paraId="005B2E0F" wp14:textId="77777777">
      <w:r>
        <w:rPr>
          <w:b/>
        </w:rPr>
        <w:t>De overheid heeft de plicht om het recht op een gezond leefmilieu te waarborgen, ook wanneer de specifieke normering ontbreekt.</w:t>
      </w:r>
      <w:r>
        <w:t xml:space="preserve"> Het verlenen van een vergunning voor een geluidsbron die geen wettelijke normen kent, zonder daar bindende geluidsgrenzen aan te verbinden als vergunningsvoorwaarde, is in strijd met de grondwettelijke zorgplicht. Het EHRM heeft in </w:t>
      </w:r>
      <w:r>
        <w:rPr>
          <w:b/>
        </w:rPr>
        <w:t>Hatton t. Verenigd Koninkrijk (2003)</w:t>
      </w:r>
      <w:r>
        <w:t xml:space="preserve"> geoordeeld dat nachtelijke geluidshinder door infrastructuur een schending van art. 8 EVRM (recht op privé- en gezinsleven) kan opleveren, en dat de overheid een positieve verplichting heeft om een redelijk evenwicht te waarborgen tussen de economische belangen en de bescherming van omwonenden tegen ernstige nachtverstoring. De permanente nachtelijke blootstelling aan corona-geluid — zonder wettelijke norm en zonder bindende vergunningsvoorwaarden — plaatst de omwonenden in een vergelijkbare positie als de klagende partijen in Hatton.</w:t>
      </w:r>
    </w:p>
    <w:p xmlns:wp14="http://schemas.microsoft.com/office/word/2010/wordml" w14:paraId="6A8D5868" wp14:textId="77777777">
      <w:r>
        <w:t xml:space="preserve">Het EHRM heeft in </w:t>
      </w:r>
      <w:r>
        <w:rPr>
          <w:b/>
        </w:rPr>
        <w:t>Moreno Gomez t. Spanje (16 november 2004, nr. 4143/02)</w:t>
      </w:r>
      <w:r>
        <w:t xml:space="preserve"> specifiek geoordeeld dat de overheid een </w:t>
      </w:r>
      <w:r>
        <w:rPr>
          <w:b/>
        </w:rPr>
        <w:t>positieve verplichting</w:t>
      </w:r>
      <w:r>
        <w:t xml:space="preserve"> heeft onder artikel 8 EVRM om burgers te beschermen tegen ernstige geluidshinder, zelfs wanneer de bron een vergunde activiteit betreft. Het Hof oordeelde dat de Spaanse overheid had gefaald in het nemen van adequate maatregelen om de nachtelijke geluidshinder te beperken, ondanks het bestaan van lokale geluidsnormen. Dit arrest is bijzonder relevant voor het Ventilus-project, waar </w:t>
      </w:r>
      <w:r>
        <w:rPr>
          <w:b/>
        </w:rPr>
        <w:t>geen wettelijk afdwingbare geluidsnorm</w:t>
      </w:r>
      <w:r>
        <w:t xml:space="preserve"> geldt voor hoogspanningslijnen en waar 24-28 woningen binnen 10-15 meter van geleiders de MKN nacht overschrijden.</w:t>
      </w:r>
    </w:p>
    <w:p xmlns:wp14="http://schemas.microsoft.com/office/word/2010/wordml" w14:paraId="7E7D8CBB" wp14:textId="77777777">
      <w:r>
        <w:t xml:space="preserve">De </w:t>
      </w:r>
      <w:r>
        <w:rPr>
          <w:b/>
        </w:rPr>
        <w:t>WHO Environmental Noise Guidelines for the European Region (2018)</w:t>
      </w:r>
      <w:r>
        <w:t xml:space="preserve"> erkennen laagfrequent geluid (LFN) als een specifiek gezondheidsprobleem dat slaapverstoring, hoofdpijn, vermoeidheid en stress veroorzaakt. De 100Hz tonale component van corona-geluid (humming) valt precies binnen het LFN-spectrum.</w:t>
      </w:r>
    </w:p>
    <w:p xmlns:wp14="http://schemas.microsoft.com/office/word/2010/wordml" w14:paraId="02EB378F" wp14:textId="77777777">
      <w:pPr>
        <w:spacing w:before="240" w:after="240"/>
        <w:pBdr>
          <w:bottom w:val="single" w:color="CCCCCC" w:sz="6" w:space="1"/>
        </w:pBdr>
      </w:pPr>
    </w:p>
    <w:p xmlns:wp14="http://schemas.microsoft.com/office/word/2010/wordml" w14:paraId="3770EA8C" wp14:textId="77777777">
      <w:pPr>
        <w:pStyle w:val="Heading2"/>
      </w:pPr>
      <w:r>
        <w:t>3. CORONA-GELUID BIJ EXPLOITATIE</w:t>
      </w:r>
    </w:p>
    <w:p xmlns:wp14="http://schemas.microsoft.com/office/word/2010/wordml" w14:paraId="26C3F125" wp14:textId="77777777">
      <w:pPr>
        <w:pStyle w:val="Heading3"/>
      </w:pPr>
      <w:r>
        <w:t>3.1 Woningen met MKN-overschrijding</w:t>
      </w:r>
    </w:p>
    <w:p xmlns:wp14="http://schemas.microsoft.com/office/word/2010/wordml" w14:paraId="18B9A915" wp14:textId="77777777">
      <w:r>
        <w:t>Het MER documenteert:</w:t>
      </w:r>
    </w:p>
    <w:p xmlns:wp14="http://schemas.microsoft.com/office/word/2010/wordml" w14:paraId="04891719" wp14:textId="77777777">
      <w:pPr>
        <w:pStyle w:val="ListBullet"/>
        <w:spacing w:after="60"/>
        <w:ind w:left="720"/>
      </w:pPr>
      <w:r>
        <w:rPr>
          <w:b/>
        </w:rPr>
        <w:t>24 woningen</w:t>
      </w:r>
      <w:r>
        <w:t xml:space="preserve"> op minder dan 10 meter van HTLS-geleiders (p. 12-74);</w:t>
      </w:r>
    </w:p>
    <w:p xmlns:wp14="http://schemas.microsoft.com/office/word/2010/wordml" w14:paraId="41A38ABA" wp14:textId="77777777">
      <w:pPr>
        <w:pStyle w:val="ListBullet"/>
        <w:spacing w:after="60"/>
        <w:ind w:left="720"/>
      </w:pPr>
      <w:r>
        <w:rPr>
          <w:b/>
        </w:rPr>
        <w:t>28 woningen</w:t>
      </w:r>
      <w:r>
        <w:t xml:space="preserve"> op minder dan 15 meter van HTLS-geleiders;</w:t>
      </w:r>
    </w:p>
    <w:p xmlns:wp14="http://schemas.microsoft.com/office/word/2010/wordml" w14:paraId="37988413" wp14:textId="77777777">
      <w:pPr>
        <w:pStyle w:val="ListBullet"/>
        <w:spacing w:after="60"/>
        <w:ind w:left="720"/>
      </w:pPr>
      <w:r>
        <w:t>Bij deze woningen kan de MKN nacht (</w:t>
      </w:r>
      <w:r>
        <w:rPr>
          <w:b/>
        </w:rPr>
        <w:t>35 dB(A)</w:t>
      </w:r>
      <w:r>
        <w:t>) worden overschreden bij corona-geluid.</w:t>
      </w:r>
    </w:p>
    <w:p xmlns:wp14="http://schemas.microsoft.com/office/word/2010/wordml" w14:paraId="529C0A55" wp14:textId="77777777">
      <w:r>
        <w:t>Corona-geluid treedt op bij vochtig weer (luchtvochtigheid &gt;85%) en kent twee componenten:</w:t>
      </w:r>
    </w:p>
    <w:p xmlns:wp14="http://schemas.microsoft.com/office/word/2010/wordml" w14:paraId="7A11930C" wp14:textId="77777777">
      <w:pPr>
        <w:pStyle w:val="ListBullet"/>
        <w:spacing w:after="60"/>
        <w:ind w:left="720"/>
      </w:pPr>
      <w:r>
        <w:rPr>
          <w:b/>
        </w:rPr>
        <w:t>"Hissing"</w:t>
      </w:r>
      <w:r>
        <w:t xml:space="preserve"> -- knetterend geluid door micro-ontladingen op het geleideroppervlak;</w:t>
      </w:r>
    </w:p>
    <w:p xmlns:wp14="http://schemas.microsoft.com/office/word/2010/wordml" w14:paraId="0244DED9" wp14:textId="77777777">
      <w:pPr>
        <w:pStyle w:val="ListBullet"/>
        <w:spacing w:after="60"/>
        <w:ind w:left="720"/>
      </w:pPr>
      <w:r>
        <w:rPr>
          <w:b/>
        </w:rPr>
        <w:t>"Humming"</w:t>
      </w:r>
      <w:r>
        <w:t xml:space="preserve"> -- een 100Hz bromtoon door oscillatie van waterdruppels op de geleiders.</w:t>
      </w:r>
    </w:p>
    <w:p xmlns:wp14="http://schemas.microsoft.com/office/word/2010/wordml" w14:paraId="7DD30F54" wp14:textId="77777777">
      <w:r>
        <w:t xml:space="preserve">Het MER erkent dat deze meteorologische condities </w:t>
      </w:r>
      <w:r>
        <w:rPr>
          <w:i/>
        </w:rPr>
        <w:t>"frequenter optreden in de winterperiode"</w:t>
      </w:r>
      <w:r>
        <w:t xml:space="preserve"> (p. 12-23). Juist 's nachts -- wanneer de strengste norm geldt en mensen slapen -- is de maskering door verkeersgeluid het geringst en is corona-geluid het meest hoorbaar.</w:t>
      </w:r>
    </w:p>
    <w:p xmlns:wp14="http://schemas.microsoft.com/office/word/2010/wordml" w14:paraId="3BD343F4" wp14:textId="77777777">
      <w:pPr>
        <w:pStyle w:val="Heading3"/>
      </w:pPr>
      <w:r>
        <w:t>3.2 Veroudering geleiders: tot 10 dB(A) toename</w:t>
      </w:r>
    </w:p>
    <w:p xmlns:wp14="http://schemas.microsoft.com/office/word/2010/wordml" w14:paraId="524A136D" wp14:textId="77777777">
      <w:r>
        <w:t>Het MER erkent een cruciale leemte:</w:t>
      </w:r>
    </w:p>
    <w:p xmlns:wp14="http://schemas.microsoft.com/office/word/2010/wordml" w14:paraId="66F5EF5F" wp14:textId="77777777">
      <w:pPr>
        <w:spacing w:before="120" w:after="120"/>
        <w:ind w:left="850"/>
        <w:pBdr>
          <w:left w:val="single" w:color="999999" w:sz="12" w:space="8"/>
        </w:pBdr>
      </w:pPr>
      <w:r>
        <w:rPr>
          <w:i/>
          <w:color w:val="444444"/>
        </w:rPr>
        <w:t xml:space="preserve">De geluidsimmissie van HTLS-geleiders kan </w:t>
      </w:r>
      <w:r>
        <w:rPr>
          <w:b/>
          <w:i/>
          <w:color w:val="444444"/>
        </w:rPr>
        <w:t>tot 10 dB(A) toenemen</w:t>
      </w:r>
      <w:r>
        <w:rPr>
          <w:i/>
          <w:color w:val="444444"/>
        </w:rPr>
        <w:t xml:space="preserve"> na verloop van tijd door het uitvloeien van trekvetten (p. 12-74).</w:t>
      </w:r>
    </w:p>
    <w:p xmlns:wp14="http://schemas.microsoft.com/office/word/2010/wordml" w14:paraId="522BBCF8" wp14:textId="77777777">
      <w:r>
        <w:t xml:space="preserve">Het tijdsbestek van deze toename is een </w:t>
      </w:r>
      <w:r>
        <w:rPr>
          <w:i/>
        </w:rPr>
        <w:t>"leemte in de kennis"</w:t>
      </w:r>
      <w:r>
        <w:t xml:space="preserve"> (p. 12-142).</w:t>
      </w:r>
    </w:p>
    <w:p xmlns:wp14="http://schemas.microsoft.com/office/word/2010/wordml" w14:paraId="0F61D64A" wp14:textId="77777777">
      <w:r>
        <w:t xml:space="preserve">Een toename van </w:t>
      </w:r>
      <w:r>
        <w:rPr>
          <w:b/>
        </w:rPr>
        <w:t>10 dB(A)</w:t>
      </w:r>
      <w:r>
        <w:t xml:space="preserve"> is niet triviaal: dit vertegenwoordigt een </w:t>
      </w:r>
      <w:r>
        <w:rPr>
          <w:b/>
        </w:rPr>
        <w:t>vertienvoudiging van de geluidsintensiteit</w:t>
      </w:r>
      <w:r>
        <w:t xml:space="preserve">. Als de huidige meetwaarden van 26-35 dB(A) op 20 meter met 10 dB(A) toenemen, worden waarden van </w:t>
      </w:r>
      <w:r>
        <w:rPr>
          <w:b/>
        </w:rPr>
        <w:t>36-45 dB(A)</w:t>
      </w:r>
      <w:r>
        <w:t xml:space="preserve"> bereikt -- ruim boven de nachtelijke MKN van 35 dB(A).</w:t>
      </w:r>
    </w:p>
    <w:p xmlns:wp14="http://schemas.microsoft.com/office/word/2010/wordml" w14:paraId="4E739FD9" wp14:textId="77777777">
      <w:r>
        <w:t xml:space="preserve">Bovendien kan na het verdwijnen van de trekvetten ook </w:t>
      </w:r>
      <w:r>
        <w:rPr>
          <w:b/>
        </w:rPr>
        <w:t>erosie en vervuiling van het geleideroppervlak</w:t>
      </w:r>
      <w:r>
        <w:t xml:space="preserve"> opnieuw leiden tot verhoogd corona-geluid. Het is een terugkerend fenomeen, geen eenmalige piek.</w:t>
      </w:r>
    </w:p>
    <w:p xmlns:wp14="http://schemas.microsoft.com/office/word/2010/wordml" w14:paraId="7D7E164A" wp14:textId="77777777">
      <w:r>
        <w:t xml:space="preserve">Het MER baseert zijn effectbeoordeling op metingen aan </w:t>
      </w:r>
      <w:r>
        <w:rPr>
          <w:b/>
        </w:rPr>
        <w:t>nieuwe geleiders</w:t>
      </w:r>
      <w:r>
        <w:t xml:space="preserve"> (meetcampagnes van slechts 2 weken) en extrapoleert deze naar de volledige exploitatieduur van 40+ jaar. De effectscore "0 tot -1" is derhalve een onderschatting die de werkelijke levenslange blootstelling niet weerspiegelt.</w:t>
      </w:r>
    </w:p>
    <w:p xmlns:wp14="http://schemas.microsoft.com/office/word/2010/wordml" w14:paraId="367CDACA" wp14:textId="77777777">
      <w:pPr>
        <w:pStyle w:val="Heading3"/>
      </w:pPr>
      <w:r>
        <w:t>3.3 Meetcampagnes onvoldoende representatief</w:t>
      </w:r>
    </w:p>
    <w:p xmlns:wp14="http://schemas.microsoft.com/office/word/2010/wordml" w14:paraId="45788D52" wp14:textId="77777777">
      <w:r>
        <w:t xml:space="preserve">De meetcampagnes voor corona-geluid duurden slechts </w:t>
      </w:r>
      <w:r>
        <w:rPr>
          <w:b/>
        </w:rPr>
        <w:t>2 weken per locatie</w:t>
      </w:r>
      <w:r>
        <w:t xml:space="preserve"> (december 2018 voor AMS-geleiders; 2024-2025 voor HTLS). Twee weken meten in december is niet representatief voor het jaargemiddelde geluid. Niet gevat zijn:</w:t>
      </w:r>
    </w:p>
    <w:p xmlns:wp14="http://schemas.microsoft.com/office/word/2010/wordml" w14:paraId="765D53F0" wp14:textId="77777777">
      <w:pPr>
        <w:pStyle w:val="ListBullet"/>
        <w:spacing w:after="60"/>
        <w:ind w:left="720"/>
      </w:pPr>
      <w:r>
        <w:t>Seizoensvariatie (herfst/winter vs. zomer);</w:t>
      </w:r>
    </w:p>
    <w:p xmlns:wp14="http://schemas.microsoft.com/office/word/2010/wordml" w14:paraId="32012A25" wp14:textId="77777777">
      <w:pPr>
        <w:pStyle w:val="ListBullet"/>
        <w:spacing w:after="60"/>
        <w:ind w:left="720"/>
      </w:pPr>
      <w:r>
        <w:t>Langetermijnveroudering van geleiders;</w:t>
      </w:r>
    </w:p>
    <w:p xmlns:wp14="http://schemas.microsoft.com/office/word/2010/wordml" w14:paraId="03BDA8C4" wp14:textId="77777777">
      <w:pPr>
        <w:pStyle w:val="ListBullet"/>
        <w:spacing w:after="60"/>
        <w:ind w:left="720"/>
      </w:pPr>
      <w:r>
        <w:t>Extreme weersomstandigheden (aanhoudende mist, motregen);</w:t>
      </w:r>
    </w:p>
    <w:p xmlns:wp14="http://schemas.microsoft.com/office/word/2010/wordml" w14:paraId="28F9E174" wp14:textId="77777777">
      <w:pPr>
        <w:pStyle w:val="ListBullet"/>
        <w:spacing w:after="60"/>
        <w:ind w:left="720"/>
      </w:pPr>
      <w:r>
        <w:t xml:space="preserve">Het cruciale verschil tussen </w:t>
      </w:r>
      <w:r>
        <w:rPr>
          <w:b/>
        </w:rPr>
        <w:t>motregen/mist</w:t>
      </w:r>
      <w:r>
        <w:t xml:space="preserve"> (corona-geluid WEL, maskerend regengeluid NIET) en </w:t>
      </w:r>
      <w:r>
        <w:rPr>
          <w:b/>
        </w:rPr>
        <w:t>hevige regen</w:t>
      </w:r>
      <w:r>
        <w:t xml:space="preserve"> (maskerend effect WEL).</w:t>
      </w:r>
    </w:p>
    <w:p xmlns:wp14="http://schemas.microsoft.com/office/word/2010/wordml" w14:paraId="309065DC" wp14:textId="77777777">
      <w:r>
        <w:t>Het MER erkent dit als leemte maar trekt desondanks verregaande conclusies over de aanvaardbaarheid.</w:t>
      </w:r>
    </w:p>
    <w:p xmlns:wp14="http://schemas.microsoft.com/office/word/2010/wordml" w14:paraId="044F2441" wp14:textId="77777777">
      <w:pPr>
        <w:pStyle w:val="Heading3"/>
      </w:pPr>
      <w:r>
        <w:t>3.4 Corona-ontlading produceert ozon en stikstofoxiden</w:t>
      </w:r>
    </w:p>
    <w:p xmlns:wp14="http://schemas.microsoft.com/office/word/2010/wordml" w14:paraId="77513A4F" wp14:textId="77777777">
      <w:r>
        <w:t xml:space="preserve">Recente wetenschappelijke studies bevestigen dat corona-ontlading bij hoogspanningsgeleiders niet alleen geluid maar ook </w:t>
      </w:r>
      <w:r>
        <w:rPr>
          <w:b/>
        </w:rPr>
        <w:t>ozon (O3) en stikstofoxiden (NOx)</w:t>
      </w:r>
      <w:r>
        <w:t xml:space="preserve"> produceert (De Vito et al. 2024, DOI: 10.3390/s24020587; Zobaa et al. 2025, DOI: 10.1038/s41598-025-26521-z). Deze emissies zijn inherent aan het fysisch proces van corona-ontlading en treden op onder dezelfde meteorologische omstandigheden die corona-geluid veroorzaken — met name bij hoge luchtvochtigheid en neerslag.</w:t>
      </w:r>
    </w:p>
    <w:p xmlns:wp14="http://schemas.microsoft.com/office/word/2010/wordml" w14:paraId="1ABDF6E9" wp14:textId="5683575E">
      <w:r w:rsidR="50C8EF53">
        <w:rPr/>
        <w:t xml:space="preserve">Ozon </w:t>
      </w:r>
      <w:r w:rsidR="50C8EF53">
        <w:rPr/>
        <w:t>en</w:t>
      </w:r>
      <w:r w:rsidR="50C8EF53">
        <w:rPr/>
        <w:t xml:space="preserve"> </w:t>
      </w:r>
      <w:r w:rsidR="50C8EF53">
        <w:rPr/>
        <w:t>stikstofoxiden</w:t>
      </w:r>
      <w:r w:rsidR="50C8EF53">
        <w:rPr/>
        <w:t xml:space="preserve"> </w:t>
      </w:r>
      <w:r w:rsidR="50C8EF53">
        <w:rPr/>
        <w:t>zijn</w:t>
      </w:r>
      <w:r w:rsidR="50C8EF53">
        <w:rPr/>
        <w:t xml:space="preserve"> </w:t>
      </w:r>
      <w:r w:rsidR="50C8EF53">
        <w:rPr/>
        <w:t>erkende</w:t>
      </w:r>
      <w:r w:rsidR="50C8EF53">
        <w:rPr/>
        <w:t xml:space="preserve"> </w:t>
      </w:r>
      <w:r w:rsidR="50C8EF53">
        <w:rPr/>
        <w:t>luchtverontreinigende</w:t>
      </w:r>
      <w:r w:rsidR="50C8EF53">
        <w:rPr/>
        <w:t xml:space="preserve"> </w:t>
      </w:r>
      <w:r w:rsidR="50C8EF53">
        <w:rPr/>
        <w:t>stoffen</w:t>
      </w:r>
      <w:r w:rsidR="50C8EF53">
        <w:rPr/>
        <w:t xml:space="preserve"> met </w:t>
      </w:r>
      <w:r w:rsidR="50C8EF53">
        <w:rPr/>
        <w:t>bekende</w:t>
      </w:r>
      <w:r w:rsidR="50C8EF53">
        <w:rPr/>
        <w:t xml:space="preserve"> </w:t>
      </w:r>
      <w:r w:rsidR="50C8EF53">
        <w:rPr/>
        <w:t>gezondheidseffecten</w:t>
      </w:r>
      <w:r w:rsidR="50C8EF53">
        <w:rPr/>
        <w:t xml:space="preserve"> (</w:t>
      </w:r>
      <w:r w:rsidR="50C8EF53">
        <w:rPr/>
        <w:t>irritatie</w:t>
      </w:r>
      <w:r w:rsidR="50C8EF53">
        <w:rPr/>
        <w:t xml:space="preserve"> van de </w:t>
      </w:r>
      <w:r w:rsidR="50C8EF53">
        <w:rPr/>
        <w:t>luchtwegen</w:t>
      </w:r>
      <w:r w:rsidR="50C8EF53">
        <w:rPr/>
        <w:t xml:space="preserve">, </w:t>
      </w:r>
      <w:r w:rsidR="50C8EF53">
        <w:rPr/>
        <w:t>verergering</w:t>
      </w:r>
      <w:r w:rsidR="50C8EF53">
        <w:rPr/>
        <w:t xml:space="preserve"> van </w:t>
      </w:r>
      <w:r w:rsidR="50C8EF53">
        <w:rPr/>
        <w:t>astma</w:t>
      </w:r>
      <w:r w:rsidR="50C8EF53">
        <w:rPr/>
        <w:t xml:space="preserve">, </w:t>
      </w:r>
      <w:r w:rsidR="50C8EF53">
        <w:rPr/>
        <w:t>vorming</w:t>
      </w:r>
      <w:r w:rsidR="50C8EF53">
        <w:rPr/>
        <w:t xml:space="preserve"> van </w:t>
      </w:r>
      <w:r w:rsidR="50C8EF53">
        <w:rPr/>
        <w:t>secundair</w:t>
      </w:r>
      <w:r w:rsidR="50C8EF53">
        <w:rPr/>
        <w:t xml:space="preserve"> </w:t>
      </w:r>
      <w:r w:rsidR="50C8EF53">
        <w:rPr/>
        <w:t>fijn</w:t>
      </w:r>
      <w:r w:rsidR="50C8EF53">
        <w:rPr/>
        <w:t xml:space="preserve"> </w:t>
      </w:r>
      <w:r w:rsidR="50C8EF53">
        <w:rPr/>
        <w:t>stof</w:t>
      </w:r>
      <w:r w:rsidR="50C8EF53">
        <w:rPr/>
        <w:t xml:space="preserve">). </w:t>
      </w:r>
      <w:r w:rsidR="50C8EF53">
        <w:rPr/>
        <w:t>Deze</w:t>
      </w:r>
      <w:r w:rsidR="50C8EF53">
        <w:rPr/>
        <w:t xml:space="preserve"> </w:t>
      </w:r>
      <w:r w:rsidR="50C8EF53">
        <w:rPr/>
        <w:t>emissies</w:t>
      </w:r>
      <w:r w:rsidR="50C8EF53">
        <w:rPr/>
        <w:t xml:space="preserve"> </w:t>
      </w:r>
      <w:r w:rsidR="50C8EF53">
        <w:rPr/>
        <w:t>zijn</w:t>
      </w:r>
      <w:r w:rsidR="50C8EF53">
        <w:rPr/>
        <w:t xml:space="preserve"> </w:t>
      </w:r>
      <w:r w:rsidRPr="50C8EF53" w:rsidR="50C8EF53">
        <w:rPr>
          <w:b w:val="1"/>
          <w:bCs w:val="1"/>
        </w:rPr>
        <w:t>niet</w:t>
      </w:r>
      <w:r w:rsidRPr="50C8EF53" w:rsidR="50C8EF53">
        <w:rPr>
          <w:b w:val="1"/>
          <w:bCs w:val="1"/>
        </w:rPr>
        <w:t xml:space="preserve"> </w:t>
      </w:r>
      <w:r w:rsidRPr="50C8EF53" w:rsidR="50C8EF53">
        <w:rPr>
          <w:b w:val="1"/>
          <w:bCs w:val="1"/>
        </w:rPr>
        <w:t>meegenomen</w:t>
      </w:r>
      <w:r w:rsidR="50C8EF53">
        <w:rPr/>
        <w:t xml:space="preserve"> in de discipline </w:t>
      </w:r>
      <w:r w:rsidR="50C8EF53">
        <w:rPr/>
        <w:t>Geluid</w:t>
      </w:r>
      <w:r w:rsidR="50C8EF53">
        <w:rPr/>
        <w:t xml:space="preserve"> (</w:t>
      </w:r>
      <w:r w:rsidR="50C8EF53">
        <w:rPr/>
        <w:t>Hoofdstuk</w:t>
      </w:r>
      <w:r w:rsidR="50C8EF53">
        <w:rPr/>
        <w:t xml:space="preserve"> 12), </w:t>
      </w:r>
      <w:r w:rsidR="50C8EF53">
        <w:rPr/>
        <w:t>noch</w:t>
      </w:r>
      <w:r w:rsidR="50C8EF53">
        <w:rPr/>
        <w:t xml:space="preserve"> in de discipline </w:t>
      </w:r>
      <w:r w:rsidR="50C8EF53">
        <w:rPr/>
        <w:t>Gezondheid</w:t>
      </w:r>
      <w:r w:rsidR="50C8EF53">
        <w:rPr/>
        <w:t xml:space="preserve"> (</w:t>
      </w:r>
      <w:r w:rsidR="50C8EF53">
        <w:rPr/>
        <w:t>Hoofdstuk</w:t>
      </w:r>
      <w:r w:rsidR="50C8EF53">
        <w:rPr/>
        <w:t xml:space="preserve"> 13), </w:t>
      </w:r>
      <w:r w:rsidR="50C8EF53">
        <w:rPr/>
        <w:t>noch</w:t>
      </w:r>
      <w:r w:rsidR="50C8EF53">
        <w:rPr/>
        <w:t xml:space="preserve"> in de discipline Lucht (</w:t>
      </w:r>
      <w:r w:rsidR="50C8EF53">
        <w:rPr/>
        <w:t>Hoofdstuk</w:t>
      </w:r>
      <w:r w:rsidR="50C8EF53">
        <w:rPr/>
        <w:t xml:space="preserve"> 15) van het project-MER. Het </w:t>
      </w:r>
      <w:r w:rsidR="50C8EF53">
        <w:rPr/>
        <w:t>ontbreken</w:t>
      </w:r>
      <w:r w:rsidR="50C8EF53">
        <w:rPr/>
        <w:t xml:space="preserve"> van </w:t>
      </w:r>
      <w:r w:rsidR="50C8EF53">
        <w:rPr/>
        <w:t>een</w:t>
      </w:r>
      <w:r w:rsidR="50C8EF53">
        <w:rPr/>
        <w:t xml:space="preserve"> </w:t>
      </w:r>
      <w:r w:rsidR="50C8EF53">
        <w:rPr/>
        <w:t>beoordeling</w:t>
      </w:r>
      <w:r w:rsidR="50C8EF53">
        <w:rPr/>
        <w:t xml:space="preserve"> van </w:t>
      </w:r>
      <w:r w:rsidR="50C8EF53">
        <w:rPr/>
        <w:t>deze</w:t>
      </w:r>
      <w:r w:rsidR="50C8EF53">
        <w:rPr/>
        <w:t xml:space="preserve"> </w:t>
      </w:r>
      <w:r w:rsidR="50C8EF53">
        <w:rPr/>
        <w:t>emissies</w:t>
      </w:r>
      <w:r w:rsidR="50C8EF53">
        <w:rPr/>
        <w:t xml:space="preserve"> </w:t>
      </w:r>
      <w:r w:rsidR="50C8EF53">
        <w:rPr/>
        <w:t>constitueert</w:t>
      </w:r>
      <w:r w:rsidR="50C8EF53">
        <w:rPr/>
        <w:t xml:space="preserve"> </w:t>
      </w:r>
      <w:r w:rsidR="50C8EF53">
        <w:rPr/>
        <w:t>een</w:t>
      </w:r>
      <w:r w:rsidR="50C8EF53">
        <w:rPr/>
        <w:t xml:space="preserve"> </w:t>
      </w:r>
      <w:r w:rsidR="50C8EF53">
        <w:rPr/>
        <w:t>aanvullende</w:t>
      </w:r>
      <w:r w:rsidR="50C8EF53">
        <w:rPr/>
        <w:t xml:space="preserve"> </w:t>
      </w:r>
      <w:r w:rsidR="50C8EF53">
        <w:rPr/>
        <w:t>tekortkoming</w:t>
      </w:r>
      <w:r w:rsidR="50C8EF53">
        <w:rPr/>
        <w:t xml:space="preserve"> van het MER.</w:t>
      </w:r>
    </w:p>
    <w:p xmlns:wp14="http://schemas.microsoft.com/office/word/2010/wordml" w14:paraId="6A05A809" wp14:textId="77777777">
      <w:pPr>
        <w:spacing w:before="240" w:after="240"/>
        <w:pBdr>
          <w:bottom w:val="single" w:color="CCCCCC" w:sz="6" w:space="1"/>
        </w:pBdr>
      </w:pPr>
    </w:p>
    <w:p xmlns:wp14="http://schemas.microsoft.com/office/word/2010/wordml" w14:paraId="5C1987D2" wp14:textId="77777777">
      <w:pPr>
        <w:pStyle w:val="Heading2"/>
      </w:pPr>
      <w:r>
        <w:t>4. LAAGFREQUENT GELUID NIET BEOORDEELD</w:t>
      </w:r>
    </w:p>
    <w:p xmlns:wp14="http://schemas.microsoft.com/office/word/2010/wordml" w14:paraId="52ADA1A3" wp14:textId="77777777">
      <w:pPr>
        <w:pStyle w:val="Heading3"/>
      </w:pPr>
      <w:r>
        <w:t>4.1 De 100Hz "humming" als apart gezondheidsprobleem</w:t>
      </w:r>
    </w:p>
    <w:p xmlns:wp14="http://schemas.microsoft.com/office/word/2010/wordml" w14:paraId="50F471E0" wp14:textId="77777777">
      <w:r>
        <w:t>Het MER erkent de aanwezigheid van een tonale 100Hz bromtoon (humming) en beschrijft:</w:t>
      </w:r>
    </w:p>
    <w:p xmlns:wp14="http://schemas.microsoft.com/office/word/2010/wordml" w14:paraId="5B80DE6D" wp14:textId="77777777">
      <w:pPr>
        <w:spacing w:before="120" w:after="120"/>
        <w:ind w:left="850"/>
        <w:pBdr>
          <w:left w:val="single" w:color="999999" w:sz="12" w:space="8"/>
        </w:pBdr>
      </w:pPr>
      <w:r>
        <w:rPr>
          <w:i/>
          <w:color w:val="444444"/>
        </w:rPr>
        <w:t>"[De humming] wordt door het laagfrequente karakter minder snel gemaskeerd door omgevingsgeluid"</w:t>
      </w:r>
      <w:r>
        <w:rPr>
          <w:i/>
          <w:color w:val="444444"/>
        </w:rPr>
        <w:t xml:space="preserve"> en </w:t>
      </w:r>
      <w:r>
        <w:rPr>
          <w:i/>
          <w:color w:val="444444"/>
        </w:rPr>
        <w:t>"veelal als meer hinderlijk ervaren"</w:t>
      </w:r>
      <w:r>
        <w:rPr>
          <w:i/>
          <w:color w:val="444444"/>
        </w:rPr>
        <w:t xml:space="preserve"> (p. 12-22).</w:t>
      </w:r>
    </w:p>
    <w:p xmlns:wp14="http://schemas.microsoft.com/office/word/2010/wordml" w14:paraId="3F49542E" wp14:textId="77777777">
      <w:r>
        <w:t xml:space="preserve">Desondanks wordt er </w:t>
      </w:r>
      <w:r>
        <w:rPr>
          <w:b/>
        </w:rPr>
        <w:t>geen aparte beoordeling van laagfrequent geluid (LFN)</w:t>
      </w:r>
      <w:r>
        <w:t xml:space="preserve"> uitgevoerd.</w:t>
      </w:r>
    </w:p>
    <w:p xmlns:wp14="http://schemas.microsoft.com/office/word/2010/wordml" w14:paraId="2E24844F" wp14:textId="77777777">
      <w:pPr>
        <w:pStyle w:val="Heading3"/>
      </w:pPr>
      <w:r>
        <w:t>4.2 A-weging onderwaardeert lage frequenties</w:t>
      </w:r>
    </w:p>
    <w:p xmlns:wp14="http://schemas.microsoft.com/office/word/2010/wordml" w14:paraId="196B5643" wp14:textId="77777777">
      <w:r>
        <w:t xml:space="preserve">Het gehele MER hanteert de A-weging (dB(A)), die lage frequenties systematisch onderwaardeert. Bij 100Hz is de A-weging </w:t>
      </w:r>
      <w:r>
        <w:rPr>
          <w:b/>
        </w:rPr>
        <w:t>19,1 dB lager</w:t>
      </w:r>
      <w:r>
        <w:t xml:space="preserve"> dan de werkelijke waarde; bij 50Hz zelfs 30,2 dB lager. Dit betekent dat een werkelijk geluidsniveau van 55 dB bij 100Hz in A-gewogen waarde slechts als 36 dB(A) wordt geregistreerd.</w:t>
      </w:r>
    </w:p>
    <w:p xmlns:wp14="http://schemas.microsoft.com/office/word/2010/wordml" w14:paraId="1E63E5C3" wp14:textId="77777777">
      <w:r>
        <w:t xml:space="preserve">Concreet betekent dit dat een werkelijk geluidsniveau van 55 dB bij 100Hz in dB(A)-waarde slechts als circa 36 dB(A) wordt geregistreerd. De </w:t>
      </w:r>
      <w:r>
        <w:rPr>
          <w:b/>
        </w:rPr>
        <w:t>onderwaardering met circa 20 dB</w:t>
      </w:r>
      <w:r>
        <w:t xml:space="preserve"> bij 100Hz maskeert de werkelijke hinder van de corona-humming. Bewoners die klagen over een duidelijk hoorbare bromtoon krijgen als antwoord dat het geluidsniveau "binnen de norm" valt — terwijl de norm de frequentie die de hinder veroorzaakt systematisch onderwaardeert. Een beoordeling in dB(C) of een specifieke LFN-analyse conform de Deense richtlijnen zou een realistischer beeld geven van de werkelijke geluidshinder.</w:t>
      </w:r>
    </w:p>
    <w:p xmlns:wp14="http://schemas.microsoft.com/office/word/2010/wordml" w14:paraId="29FF2229" wp14:textId="77777777">
      <w:r>
        <w:t xml:space="preserve">Een beoordeling in </w:t>
      </w:r>
      <w:r>
        <w:rPr>
          <w:b/>
        </w:rPr>
        <w:t>dB(C)</w:t>
      </w:r>
      <w:r>
        <w:t xml:space="preserve"> of een specifieke LFN-beoordeling zou de humming-component aanzienlijk hoger doen scoren. De Deense LFN-richtlijnen hanteren 20 dB(A) bij 10-160Hz als grenswaarde -- een internationale standaard die aantoont dat LFN apart moet worden beoordeeld.</w:t>
      </w:r>
    </w:p>
    <w:p xmlns:wp14="http://schemas.microsoft.com/office/word/2010/wordml" w14:paraId="4FFE1AC8" wp14:textId="77777777">
      <w:pPr>
        <w:pStyle w:val="Heading3"/>
      </w:pPr>
      <w:r>
        <w:t>4.3 Gezondheidseffecten van LFN</w:t>
      </w:r>
    </w:p>
    <w:p xmlns:wp14="http://schemas.microsoft.com/office/word/2010/wordml" w14:paraId="53F422F2" wp14:textId="77777777">
      <w:r>
        <w:t xml:space="preserve">Laagfrequent geluid is een </w:t>
      </w:r>
      <w:r>
        <w:rPr>
          <w:b/>
        </w:rPr>
        <w:t>erkend gezondheidsprobleem</w:t>
      </w:r>
      <w:r>
        <w:t xml:space="preserve"> bij hoogspanningsinfrastructuur. De WHO Environmental Noise Guidelines for the European Region (2018) erkennen LFN als specifiek gezondheidsprobleem dat slaapverstoring, hoofdpijn, vermoeidheid en stress veroorzaakt.</w:t>
      </w:r>
    </w:p>
    <w:p xmlns:wp14="http://schemas.microsoft.com/office/word/2010/wordml" w14:paraId="00C4AB55" wp14:textId="77777777">
      <w:r>
        <w:t xml:space="preserve">De 100Hz tonale component werd bij </w:t>
      </w:r>
      <w:r>
        <w:rPr>
          <w:b/>
        </w:rPr>
        <w:t>alle meetpunten</w:t>
      </w:r>
      <w:r>
        <w:t xml:space="preserve"> rond beide hoogspanningsstations vastgesteld (p. 12-46, 12-52). Het is derhalve een structureel en permanent verschijnsel, geen incidenteel fenomeen.</w:t>
      </w:r>
    </w:p>
    <w:p xmlns:wp14="http://schemas.microsoft.com/office/word/2010/wordml" w14:paraId="490270B1" wp14:textId="77777777">
      <w:r>
        <w:t xml:space="preserve">Het ontbreken van een LFN-beoordeling is een methodologische tekortkoming die de effecten op omwonenden </w:t>
      </w:r>
      <w:r>
        <w:rPr>
          <w:b/>
        </w:rPr>
        <w:t>systematisch onderschat</w:t>
      </w:r>
      <w:r>
        <w:t>.</w:t>
      </w:r>
    </w:p>
    <w:p xmlns:wp14="http://schemas.microsoft.com/office/word/2010/wordml" w14:paraId="232A9BEB" wp14:textId="77777777">
      <w:r>
        <w:rPr>
          <w:b/>
        </w:rPr>
        <w:t>Juridische grondslag:</w:t>
      </w:r>
      <w:r>
        <w:t xml:space="preserve"> WHO Environmental Noise Guidelines (2018); Richtlijn 2002/49/EG (Omgevingslawaai); voorzorgsbeginsel art. 191(2) VWEU.</w:t>
      </w:r>
    </w:p>
    <w:p xmlns:wp14="http://schemas.microsoft.com/office/word/2010/wordml" w14:paraId="5A39BBE3" wp14:textId="77777777">
      <w:pPr>
        <w:spacing w:before="240" w:after="240"/>
        <w:pBdr>
          <w:bottom w:val="single" w:color="CCCCCC" w:sz="6" w:space="1"/>
        </w:pBdr>
      </w:pPr>
    </w:p>
    <w:p xmlns:wp14="http://schemas.microsoft.com/office/word/2010/wordml" w14:paraId="0BD6B5CB" wp14:textId="77777777">
      <w:pPr>
        <w:pStyle w:val="Heading2"/>
      </w:pPr>
      <w:r>
        <w:t>5. AANLEGFASE: MASSALE GELUIDSHINDER</w:t>
      </w:r>
    </w:p>
    <w:p xmlns:wp14="http://schemas.microsoft.com/office/word/2010/wordml" w14:paraId="485B6EE4" wp14:textId="77777777">
      <w:pPr>
        <w:pStyle w:val="Heading3"/>
      </w:pPr>
      <w:r>
        <w:t>5.1 Tot 19.027 woningen met nachtelijke MKN-overschrijding</w:t>
      </w:r>
    </w:p>
    <w:p xmlns:wp14="http://schemas.microsoft.com/office/word/2010/wordml" w14:paraId="2D7ABE89" wp14:textId="77777777">
      <w:r>
        <w:t>De aanlegfase veroorzaakt extreme geluidshinder. Het MER documenteert:</w:t>
      </w:r>
    </w:p>
    <w:tbl>
      <w:tblPr>
        <w:tblStyle w:val="TableGrid"/>
        <w:tblW w:w="0" w:type="auto"/>
        <w:jc w:val="left"/>
        <w:tblLook w:val="04A0" w:firstRow="1" w:lastRow="0" w:firstColumn="1" w:lastColumn="0" w:noHBand="0" w:noVBand="1"/>
      </w:tblPr>
      <w:tblGrid>
        <w:gridCol w:w="3135"/>
        <w:gridCol w:w="3135"/>
        <w:gridCol w:w="3135"/>
      </w:tblGrid>
      <w:tr xmlns:wp14="http://schemas.microsoft.com/office/word/2010/wordml" w14:paraId="43021E68" wp14:textId="77777777">
        <w:tc>
          <w:tcPr>
            <w:tcW w:w="3135" w:type="dxa"/>
            <w:shd w:fill="1F3864" w:themeFill="accent1" w:themeFillShade="80"/>
          </w:tcPr>
          <w:p w14:paraId="2EE3EEB4" wp14:textId="77777777">
            <w:pPr>
              <w:spacing w:before="40" w:after="40"/>
            </w:pPr>
            <w:r>
              <w:rPr>
                <w:b/>
                <w:color w:val="FFFFFF"/>
                <w:sz w:val="19"/>
              </w:rPr>
            </w:r>
            <w:r>
              <w:rPr>
                <w:b/>
                <w:color w:val="FFFFFF"/>
                <w:sz w:val="19"/>
              </w:rPr>
              <w:t>Zone</w:t>
            </w:r>
          </w:p>
        </w:tc>
        <w:tc>
          <w:tcPr>
            <w:tcW w:w="3135" w:type="dxa"/>
            <w:shd w:fill="1F3864" w:themeFill="accent1" w:themeFillShade="80"/>
          </w:tcPr>
          <w:p w14:paraId="638680D9" wp14:textId="77777777">
            <w:pPr>
              <w:spacing w:before="40" w:after="40"/>
            </w:pPr>
            <w:r>
              <w:rPr>
                <w:b/>
                <w:color w:val="FFFFFF"/>
                <w:sz w:val="19"/>
              </w:rPr>
            </w:r>
            <w:r>
              <w:rPr>
                <w:b/>
                <w:color w:val="FFFFFF"/>
                <w:sz w:val="19"/>
              </w:rPr>
              <w:t>Woningen MKN dag &gt;45 dB(A)</w:t>
            </w:r>
          </w:p>
        </w:tc>
        <w:tc>
          <w:tcPr>
            <w:tcW w:w="3135" w:type="dxa"/>
            <w:shd w:fill="1F3864" w:themeFill="accent1" w:themeFillShade="80"/>
          </w:tcPr>
          <w:p w14:paraId="6D393476" wp14:textId="77777777">
            <w:pPr>
              <w:spacing w:before="40" w:after="40"/>
            </w:pPr>
            <w:r>
              <w:rPr>
                <w:b/>
                <w:color w:val="FFFFFF"/>
                <w:sz w:val="19"/>
              </w:rPr>
            </w:r>
            <w:r>
              <w:rPr>
                <w:b/>
                <w:color w:val="FFFFFF"/>
                <w:sz w:val="19"/>
              </w:rPr>
              <w:t>Woningen MKN nacht &gt;35 dB(A)</w:t>
            </w:r>
          </w:p>
        </w:tc>
      </w:tr>
      <w:tr xmlns:wp14="http://schemas.microsoft.com/office/word/2010/wordml" w14:paraId="55228C5B" wp14:textId="77777777">
        <w:tc>
          <w:tcPr>
            <w:tcW w:w="3135" w:type="dxa"/>
            <w:shd w:fill="F2F6FC"/>
          </w:tcPr>
          <w:p w14:paraId="393310B6" wp14:textId="77777777">
            <w:pPr>
              <w:spacing w:before="40" w:after="40"/>
            </w:pPr>
            <w:r>
              <w:rPr>
                <w:sz w:val="19"/>
              </w:rPr>
            </w:r>
            <w:r>
              <w:rPr>
                <w:sz w:val="19"/>
              </w:rPr>
              <w:t>Aanlanding-Gezelle</w:t>
            </w:r>
          </w:p>
        </w:tc>
        <w:tc>
          <w:tcPr>
            <w:tcW w:w="3135" w:type="dxa"/>
            <w:shd w:fill="F2F6FC"/>
          </w:tcPr>
          <w:p w14:paraId="500AA98A" wp14:textId="77777777">
            <w:pPr>
              <w:spacing w:before="40" w:after="40"/>
            </w:pPr>
            <w:r>
              <w:rPr>
                <w:sz w:val="19"/>
              </w:rPr>
            </w:r>
            <w:r>
              <w:rPr>
                <w:sz w:val="19"/>
              </w:rPr>
              <w:t>4.183</w:t>
            </w:r>
          </w:p>
        </w:tc>
        <w:tc>
          <w:tcPr>
            <w:tcW w:w="3135" w:type="dxa"/>
            <w:shd w:fill="F2F6FC"/>
          </w:tcPr>
          <w:p w14:paraId="6246CD1D" wp14:textId="77777777">
            <w:pPr>
              <w:spacing w:before="40" w:after="40"/>
            </w:pPr>
            <w:r>
              <w:rPr>
                <w:sz w:val="19"/>
              </w:rPr>
            </w:r>
            <w:r>
              <w:rPr>
                <w:sz w:val="19"/>
              </w:rPr>
              <w:t>8.014</w:t>
            </w:r>
          </w:p>
        </w:tc>
      </w:tr>
      <w:tr xmlns:wp14="http://schemas.microsoft.com/office/word/2010/wordml" w14:paraId="44CD5C9A" wp14:textId="77777777">
        <w:tc>
          <w:tcPr>
            <w:tcW w:w="3135" w:type="dxa"/>
          </w:tcPr>
          <w:p w14:paraId="0F69639F" wp14:textId="77777777">
            <w:pPr>
              <w:spacing w:before="40" w:after="40"/>
            </w:pPr>
            <w:r>
              <w:rPr>
                <w:sz w:val="19"/>
              </w:rPr>
            </w:r>
            <w:r>
              <w:rPr>
                <w:sz w:val="19"/>
              </w:rPr>
              <w:t>Zedelgem ondergronds</w:t>
            </w:r>
          </w:p>
        </w:tc>
        <w:tc>
          <w:tcPr>
            <w:tcW w:w="3135" w:type="dxa"/>
          </w:tcPr>
          <w:p w14:paraId="2A2E7BD3" wp14:textId="77777777">
            <w:pPr>
              <w:spacing w:before="40" w:after="40"/>
            </w:pPr>
            <w:r>
              <w:rPr>
                <w:sz w:val="19"/>
              </w:rPr>
            </w:r>
            <w:r>
              <w:rPr>
                <w:sz w:val="19"/>
              </w:rPr>
              <w:t>3.590</w:t>
            </w:r>
          </w:p>
        </w:tc>
        <w:tc>
          <w:tcPr>
            <w:tcW w:w="3135" w:type="dxa"/>
          </w:tcPr>
          <w:p w14:paraId="2065862F" wp14:textId="77777777">
            <w:pPr>
              <w:spacing w:before="40" w:after="40"/>
            </w:pPr>
            <w:r>
              <w:rPr>
                <w:sz w:val="19"/>
              </w:rPr>
            </w:r>
            <w:r>
              <w:rPr>
                <w:sz w:val="19"/>
              </w:rPr>
              <w:t>5.545</w:t>
            </w:r>
          </w:p>
        </w:tc>
      </w:tr>
      <w:tr xmlns:wp14="http://schemas.microsoft.com/office/word/2010/wordml" w14:paraId="4FE48D9A" wp14:textId="77777777">
        <w:tc>
          <w:tcPr>
            <w:tcW w:w="3135" w:type="dxa"/>
            <w:shd w:fill="F2F6FC"/>
          </w:tcPr>
          <w:p w14:paraId="30556D20" wp14:textId="77777777">
            <w:pPr>
              <w:spacing w:before="40" w:after="40"/>
            </w:pPr>
            <w:r>
              <w:rPr>
                <w:sz w:val="19"/>
              </w:rPr>
            </w:r>
            <w:r>
              <w:rPr>
                <w:sz w:val="19"/>
              </w:rPr>
              <w:t>Izegem ondergronds</w:t>
            </w:r>
          </w:p>
        </w:tc>
        <w:tc>
          <w:tcPr>
            <w:tcW w:w="3135" w:type="dxa"/>
            <w:shd w:fill="F2F6FC"/>
          </w:tcPr>
          <w:p w14:paraId="722E2724" wp14:textId="77777777">
            <w:pPr>
              <w:spacing w:before="40" w:after="40"/>
            </w:pPr>
            <w:r>
              <w:rPr>
                <w:sz w:val="19"/>
              </w:rPr>
            </w:r>
            <w:r>
              <w:rPr>
                <w:sz w:val="19"/>
              </w:rPr>
              <w:t>3.122</w:t>
            </w:r>
          </w:p>
        </w:tc>
        <w:tc>
          <w:tcPr>
            <w:tcW w:w="3135" w:type="dxa"/>
            <w:shd w:fill="F2F6FC"/>
          </w:tcPr>
          <w:p w14:paraId="2C79DEAF" wp14:textId="77777777">
            <w:pPr>
              <w:spacing w:before="40" w:after="40"/>
            </w:pPr>
            <w:r>
              <w:rPr>
                <w:sz w:val="19"/>
              </w:rPr>
            </w:r>
            <w:r>
              <w:rPr>
                <w:sz w:val="19"/>
              </w:rPr>
              <w:t>5.468</w:t>
            </w:r>
          </w:p>
        </w:tc>
      </w:tr>
      <w:tr xmlns:wp14="http://schemas.microsoft.com/office/word/2010/wordml" w14:paraId="6146A961" wp14:textId="77777777">
        <w:tc>
          <w:tcPr>
            <w:tcW w:w="3135" w:type="dxa"/>
          </w:tcPr>
          <w:p w14:paraId="57B2CCF8" wp14:textId="77777777">
            <w:pPr>
              <w:spacing w:before="40" w:after="40"/>
            </w:pPr>
            <w:r>
              <w:rPr>
                <w:sz w:val="19"/>
              </w:rPr>
            </w:r>
            <w:r>
              <w:rPr>
                <w:b/>
                <w:sz w:val="19"/>
              </w:rPr>
              <w:t>Cumulatief totaal</w:t>
            </w:r>
          </w:p>
        </w:tc>
        <w:tc>
          <w:tcPr>
            <w:tcW w:w="3135" w:type="dxa"/>
          </w:tcPr>
          <w:p w14:paraId="1419B913" wp14:textId="77777777">
            <w:pPr>
              <w:spacing w:before="40" w:after="40"/>
            </w:pPr>
            <w:r>
              <w:rPr>
                <w:sz w:val="19"/>
              </w:rPr>
            </w:r>
            <w:r>
              <w:rPr>
                <w:b/>
                <w:sz w:val="19"/>
              </w:rPr>
              <w:t>10.895</w:t>
            </w:r>
          </w:p>
        </w:tc>
        <w:tc>
          <w:tcPr>
            <w:tcW w:w="3135" w:type="dxa"/>
          </w:tcPr>
          <w:p w14:paraId="4EA3E301" wp14:textId="77777777">
            <w:pPr>
              <w:spacing w:before="40" w:after="40"/>
            </w:pPr>
            <w:r>
              <w:rPr>
                <w:sz w:val="19"/>
              </w:rPr>
            </w:r>
            <w:r>
              <w:rPr>
                <w:b/>
                <w:sz w:val="19"/>
              </w:rPr>
              <w:t>19.027</w:t>
            </w:r>
          </w:p>
        </w:tc>
      </w:tr>
    </w:tbl>
    <w:p xmlns:wp14="http://schemas.microsoft.com/office/word/2010/wordml" w14:paraId="41C8F396" wp14:textId="77777777"/>
    <w:p xmlns:wp14="http://schemas.microsoft.com/office/word/2010/wordml" w14:paraId="26D2467E" wp14:textId="77777777">
      <w:r>
        <w:t xml:space="preserve">De MKN-overschrijdingen reiken tot op </w:t>
      </w:r>
      <w:r>
        <w:rPr>
          <w:b/>
        </w:rPr>
        <w:t>1.345 meter</w:t>
      </w:r>
      <w:r>
        <w:t xml:space="preserve"> afstand (dag) en </w:t>
      </w:r>
      <w:r>
        <w:rPr>
          <w:b/>
        </w:rPr>
        <w:t>1.875 meter</w:t>
      </w:r>
      <w:r>
        <w:t xml:space="preserve"> afstand (nacht). Bij woningen op minder dan 20 meter bedraagt het geluidsniveau tot </w:t>
      </w:r>
      <w:r>
        <w:rPr>
          <w:b/>
        </w:rPr>
        <w:t>72 dB(A)</w:t>
      </w:r>
      <w:r>
        <w:t xml:space="preserve"> -- gekwalificeerd als </w:t>
      </w:r>
      <w:r>
        <w:rPr>
          <w:i/>
        </w:rPr>
        <w:t>"negatief tot aanzienlijk negatief effect"</w:t>
      </w:r>
      <w:r>
        <w:t xml:space="preserve"> (p. 12-78).</w:t>
      </w:r>
    </w:p>
    <w:p xmlns:wp14="http://schemas.microsoft.com/office/word/2010/wordml" w14:paraId="62A77B0E" wp14:textId="77777777">
      <w:r>
        <w:t xml:space="preserve">De gemeente Zedelgem documenteert in haar ongunstig advies de impact voor haar grondgebied alleen: </w:t>
      </w:r>
      <w:r>
        <w:rPr>
          <w:b/>
        </w:rPr>
        <w:t>5.189 woningen</w:t>
      </w:r>
      <w:r>
        <w:t xml:space="preserve"> met MKN-overschrijding overdag en </w:t>
      </w:r>
      <w:r>
        <w:rPr>
          <w:b/>
        </w:rPr>
        <w:t>8.346 woningen</w:t>
      </w:r>
      <w:r>
        <w:t xml:space="preserve"> 's nachts.</w:t>
      </w:r>
    </w:p>
    <w:p xmlns:wp14="http://schemas.microsoft.com/office/word/2010/wordml" w14:paraId="4034941A" wp14:textId="77777777">
      <w:pPr>
        <w:pStyle w:val="Heading3"/>
      </w:pPr>
      <w:r>
        <w:t>5.2 Bemaling 24/7 actief</w:t>
      </w:r>
    </w:p>
    <w:p xmlns:wp14="http://schemas.microsoft.com/office/word/2010/wordml" w14:paraId="3D96FAE5" wp14:textId="77777777">
      <w:r>
        <w:t xml:space="preserve">De bemaling van sleufwerken draait </w:t>
      </w:r>
      <w:r>
        <w:rPr>
          <w:b/>
        </w:rPr>
        <w:t>24 uur per dag, 7 dagen per week</w:t>
      </w:r>
      <w:r>
        <w:t xml:space="preserve">, ook 's nachts. De nachtelijke MKN-overschrijdingen zijn derhalve niet beperkt tot werktijden maar permanent gedurende de bemalingsduur. De totale bemalingsduur bedraagt </w:t>
      </w:r>
      <w:r>
        <w:rPr>
          <w:b/>
        </w:rPr>
        <w:t>2.260 dagen</w:t>
      </w:r>
      <w:r>
        <w:t xml:space="preserve"> (~6,2 jaar) voor het gehele trace.</w:t>
      </w:r>
    </w:p>
    <w:p xmlns:wp14="http://schemas.microsoft.com/office/word/2010/wordml" w14:paraId="0C9578FE" wp14:textId="77777777">
      <w:pPr>
        <w:pStyle w:val="Heading3"/>
      </w:pPr>
      <w:r>
        <w:t>5.3 Geen wettelijk kader voor bouwgeluid in Vlaanderen</w:t>
      </w:r>
    </w:p>
    <w:p xmlns:wp14="http://schemas.microsoft.com/office/word/2010/wordml" w14:paraId="2DB701B3" wp14:textId="77777777">
      <w:r>
        <w:t>Het MER erkent expliciet:</w:t>
      </w:r>
    </w:p>
    <w:p xmlns:wp14="http://schemas.microsoft.com/office/word/2010/wordml" w14:paraId="0ECA3A18" wp14:textId="77777777">
      <w:pPr>
        <w:spacing w:before="120" w:after="120"/>
        <w:ind w:left="850"/>
        <w:pBdr>
          <w:left w:val="single" w:color="999999" w:sz="12" w:space="8"/>
        </w:pBdr>
      </w:pPr>
      <w:r>
        <w:rPr>
          <w:i/>
          <w:color w:val="444444"/>
        </w:rPr>
        <w:t>"Binnen de Vlaamse milieuwetgeving zijn geen concrete limietwaarden of beperkingen van toepassing voor de geluidsimpact van dergelijke werfgerelateerde activiteiten."</w:t>
      </w:r>
      <w:r>
        <w:rPr>
          <w:i/>
          <w:color w:val="444444"/>
        </w:rPr>
        <w:t xml:space="preserve"> (p. 12-17)</w:t>
      </w:r>
    </w:p>
    <w:p xmlns:wp14="http://schemas.microsoft.com/office/word/2010/wordml" w14:paraId="5CB48881" wp14:textId="77777777">
      <w:r>
        <w:t xml:space="preserve">Bij gebrek aan Vlaamse wetgeving verwijst het MER naar het </w:t>
      </w:r>
      <w:r>
        <w:rPr>
          <w:b/>
        </w:rPr>
        <w:t>Nederlandse Bouwbesluit</w:t>
      </w:r>
      <w:r>
        <w:t xml:space="preserve"> als niet-bindend referentiekader. Dit is opmerkelijk: een Vlaams MER dat voor de beoordeling van de zwaarste geluidseffecten moet terugvallen op buitenlandse wetgeving, erkent daarmee impliciet dat de bescherming van omwonenden tegen bouwgeluid in Vlaanderen ontoereikend is.</w:t>
      </w:r>
    </w:p>
    <w:p xmlns:wp14="http://schemas.microsoft.com/office/word/2010/wordml" w14:paraId="2466C1AD" wp14:textId="77777777">
      <w:r>
        <w:t xml:space="preserve">De vrijstelling van bouwgeluid in VLAREM II ontslaat de vergunningverlener niet van de grondwettelijke plicht om het recht op een gezond leefmilieu te waarborgen. De EU-Richtlijn Omgevingslawaai (2002/49/EG) kent </w:t>
      </w:r>
      <w:r>
        <w:rPr>
          <w:b/>
        </w:rPr>
        <w:t>geen dergelijke vrijstelling</w:t>
      </w:r>
      <w:r>
        <w:t xml:space="preserve"> voor bouwgeluid.</w:t>
      </w:r>
    </w:p>
    <w:p xmlns:wp14="http://schemas.microsoft.com/office/word/2010/wordml" w14:paraId="5A87CD9C" wp14:textId="77777777">
      <w:pPr>
        <w:pStyle w:val="Heading3"/>
      </w:pPr>
      <w:r>
        <w:t>5.4 Milderende maatregelen generiek en vrijblijvend</w:t>
      </w:r>
    </w:p>
    <w:p xmlns:wp14="http://schemas.microsoft.com/office/word/2010/wordml" w14:paraId="75A03E49" wp14:textId="77777777">
      <w:r>
        <w:t>De milderende maatregelen voor aanlegfasegeluid zijn:</w:t>
      </w:r>
    </w:p>
    <w:p xmlns:wp14="http://schemas.microsoft.com/office/word/2010/wordml" w14:paraId="783F7901" wp14:textId="77777777">
      <w:pPr>
        <w:pStyle w:val="ListBullet"/>
        <w:spacing w:after="60"/>
        <w:ind w:left="720"/>
      </w:pPr>
      <w:r>
        <w:rPr>
          <w:i/>
        </w:rPr>
        <w:t>"Indien mogelijk stillere toestellen"</w:t>
      </w:r>
      <w:r>
        <w:t xml:space="preserve"> -- geen verplichting;</w:t>
      </w:r>
    </w:p>
    <w:p xmlns:wp14="http://schemas.microsoft.com/office/word/2010/wordml" w14:paraId="02858F22" wp14:textId="77777777">
      <w:pPr>
        <w:pStyle w:val="ListBullet"/>
        <w:spacing w:after="60"/>
        <w:ind w:left="720"/>
      </w:pPr>
      <w:r>
        <w:rPr>
          <w:i/>
        </w:rPr>
        <w:t>"Communicatie naar omwonenden"</w:t>
      </w:r>
      <w:r>
        <w:t xml:space="preserve"> -- informatief, niet mitigerend;</w:t>
      </w:r>
    </w:p>
    <w:p xmlns:wp14="http://schemas.microsoft.com/office/word/2010/wordml" w14:paraId="4B4E3ADD" wp14:textId="77777777">
      <w:pPr>
        <w:pStyle w:val="ListBullet"/>
        <w:spacing w:after="60"/>
        <w:ind w:left="720"/>
      </w:pPr>
      <w:r>
        <w:rPr>
          <w:i/>
        </w:rPr>
        <w:t>"Aanspreekpunt voorzien"</w:t>
      </w:r>
      <w:r>
        <w:t xml:space="preserve"> -- administratief, niet mitigerend;</w:t>
      </w:r>
    </w:p>
    <w:p xmlns:wp14="http://schemas.microsoft.com/office/word/2010/wordml" w14:paraId="6FEC6924" wp14:textId="77777777">
      <w:pPr>
        <w:pStyle w:val="ListBullet"/>
        <w:spacing w:after="60"/>
        <w:ind w:left="720"/>
      </w:pPr>
      <w:r>
        <w:rPr>
          <w:i/>
        </w:rPr>
        <w:t>"Mogelijkheid tot alternatieve verblijfsmogelijkheden"</w:t>
      </w:r>
      <w:r>
        <w:t xml:space="preserve"> voor woningen op &lt;20m (p. 12-137) -- compensatie, geen preventie.</w:t>
      </w:r>
    </w:p>
    <w:p xmlns:wp14="http://schemas.microsoft.com/office/word/2010/wordml" w14:paraId="0015FAEF" wp14:textId="77777777">
      <w:r>
        <w:t xml:space="preserve">Er worden </w:t>
      </w:r>
      <w:r>
        <w:rPr>
          <w:b/>
        </w:rPr>
        <w:t>geen bindende geluidsgrenzen</w:t>
      </w:r>
      <w:r>
        <w:t xml:space="preserve">, geen maximale blootstellingsduren en geen verplichte werkuren opgelegd. De gemeente Lendelede wijst erop dat de </w:t>
      </w:r>
      <w:r>
        <w:rPr>
          <w:b/>
        </w:rPr>
        <w:t>nachtrichtwaarden nu al worden overschreden</w:t>
      </w:r>
      <w:r>
        <w:t xml:space="preserve"> bij de bestaande meetpunten 5 en 6.</w:t>
      </w:r>
    </w:p>
    <w:p xmlns:wp14="http://schemas.microsoft.com/office/word/2010/wordml" w14:paraId="72A3D3EC" wp14:textId="77777777">
      <w:pPr>
        <w:spacing w:before="240" w:after="240"/>
        <w:pBdr>
          <w:bottom w:val="single" w:color="CCCCCC" w:sz="6" w:space="1"/>
        </w:pBdr>
      </w:pPr>
    </w:p>
    <w:p xmlns:wp14="http://schemas.microsoft.com/office/word/2010/wordml" w14:paraId="20FAA147" wp14:textId="77777777">
      <w:pPr>
        <w:pStyle w:val="Heading2"/>
      </w:pPr>
      <w:r>
        <w:t>6. CUMULATIEVE GELUIDSEFFECTEN</w:t>
      </w:r>
    </w:p>
    <w:p xmlns:wp14="http://schemas.microsoft.com/office/word/2010/wordml" w14:paraId="51D22EF4" wp14:textId="77777777">
      <w:pPr>
        <w:pStyle w:val="Heading3"/>
      </w:pPr>
      <w:r>
        <w:t>6.1 Eigen conclusie MER: "niet uit te sluiten"</w:t>
      </w:r>
    </w:p>
    <w:p xmlns:wp14="http://schemas.microsoft.com/office/word/2010/wordml" w14:paraId="32D64915" wp14:textId="77777777">
      <w:r>
        <w:t>Het MER bevat een opmerkelijke eigen conclusie:</w:t>
      </w:r>
    </w:p>
    <w:p xmlns:wp14="http://schemas.microsoft.com/office/word/2010/wordml" w14:paraId="35F39393" wp14:textId="77777777">
      <w:pPr>
        <w:spacing w:before="120" w:after="120"/>
        <w:ind w:left="850"/>
        <w:pBdr>
          <w:left w:val="single" w:color="999999" w:sz="12" w:space="8"/>
        </w:pBdr>
      </w:pPr>
      <w:r>
        <w:rPr>
          <w:i/>
          <w:color w:val="444444"/>
        </w:rPr>
        <w:t>"Cumulatieve (aanzienlijke) geluidseffecten [zijn] niet uit te sluiten."</w:t>
      </w:r>
      <w:r>
        <w:rPr>
          <w:i/>
          <w:color w:val="444444"/>
        </w:rPr>
        <w:t xml:space="preserve"> (p. 12-129)</w:t>
      </w:r>
    </w:p>
    <w:p xmlns:wp14="http://schemas.microsoft.com/office/word/2010/wordml" w14:paraId="08628BAB" wp14:textId="77777777">
      <w:r>
        <w:t>Deze conclusie wordt echter niet nader uitgewerkt, niet gekwantificeerd en leidt niet tot aanvullende maatregelen.</w:t>
      </w:r>
    </w:p>
    <w:p xmlns:wp14="http://schemas.microsoft.com/office/word/2010/wordml" w14:paraId="475323E3" wp14:textId="77777777">
      <w:pPr>
        <w:pStyle w:val="Heading3"/>
      </w:pPr>
      <w:r>
        <w:t>6.2 Station Neptunus niet meegenomen</w:t>
      </w:r>
    </w:p>
    <w:p xmlns:wp14="http://schemas.microsoft.com/office/word/2010/wordml" w14:paraId="53D632F0" wp14:textId="77777777">
      <w:r>
        <w:t>Het geplande station Neptunus (naast station Gezelle) wordt afgedaan met:</w:t>
      </w:r>
    </w:p>
    <w:p xmlns:wp14="http://schemas.microsoft.com/office/word/2010/wordml" w14:paraId="427BE780" wp14:textId="77777777">
      <w:pPr>
        <w:spacing w:before="120" w:after="120"/>
        <w:ind w:left="850"/>
        <w:pBdr>
          <w:left w:val="single" w:color="999999" w:sz="12" w:space="8"/>
        </w:pBdr>
      </w:pPr>
      <w:r>
        <w:rPr>
          <w:i/>
          <w:color w:val="444444"/>
        </w:rPr>
        <w:t>"Onvoldoende details gekend."</w:t>
      </w:r>
      <w:r>
        <w:rPr>
          <w:i/>
          <w:color w:val="444444"/>
        </w:rPr>
        <w:t xml:space="preserve"> (p. 12-117)</w:t>
      </w:r>
    </w:p>
    <w:p xmlns:wp14="http://schemas.microsoft.com/office/word/2010/wordml" w14:paraId="7C25860D" wp14:textId="77777777">
      <w:r>
        <w:t xml:space="preserve">Station Neptunus is een </w:t>
      </w:r>
      <w:r>
        <w:rPr>
          <w:b/>
        </w:rPr>
        <w:t>bekend gepland project</w:t>
      </w:r>
      <w:r>
        <w:t xml:space="preserve"> van dezelfde initiatiefnemer (Elia). Het niet-meenemen van dit project in de cumulatieve beoordeling is in strijd met art. 3(1)(b) MER-richtlijn 2014/52/EU, die vereist dat cumulatieve effecten met </w:t>
      </w:r>
      <w:r>
        <w:rPr>
          <w:i/>
        </w:rPr>
        <w:t>"bestaande en/of goedgekeurde projecten"</w:t>
      </w:r>
      <w:r>
        <w:t xml:space="preserve"> worden beoordeeld.</w:t>
      </w:r>
    </w:p>
    <w:p xmlns:wp14="http://schemas.microsoft.com/office/word/2010/wordml" w14:paraId="79CD2C6E" wp14:textId="77777777">
      <w:pPr>
        <w:pStyle w:val="Heading3"/>
      </w:pPr>
      <w:r>
        <w:t>6.3 Werfverkeer: leemte in de kennis</w:t>
      </w:r>
    </w:p>
    <w:p xmlns:wp14="http://schemas.microsoft.com/office/word/2010/wordml" w14:paraId="0712A7F9" wp14:textId="77777777">
      <w:r>
        <w:t xml:space="preserve">Het effect van werfverkeer op lokale wegen wordt afgedaan als </w:t>
      </w:r>
      <w:r>
        <w:rPr>
          <w:i/>
        </w:rPr>
        <w:t>"leemte in de kennis"</w:t>
      </w:r>
      <w:r>
        <w:t xml:space="preserve"> (p. 12-131). Bij een project van deze omvang, met meer dan 650.000 m3 grondverzet, duizenden vrachtwagenbewegingen en een bouwperiode van meerdere jaren, is dit een onacceptabele lacune.</w:t>
      </w:r>
    </w:p>
    <w:p xmlns:wp14="http://schemas.microsoft.com/office/word/2010/wordml" w14:paraId="0D0B940D" wp14:textId="77777777">
      <w:pPr>
        <w:spacing w:before="240" w:after="240"/>
        <w:pBdr>
          <w:bottom w:val="single" w:color="CCCCCC" w:sz="6" w:space="1"/>
        </w:pBdr>
      </w:pPr>
    </w:p>
    <w:p xmlns:wp14="http://schemas.microsoft.com/office/word/2010/wordml" w14:paraId="642D3340" wp14:textId="77777777">
      <w:pPr>
        <w:pStyle w:val="Heading2"/>
      </w:pPr>
      <w:r>
        <w:t>7. SF6-BROEIKASGAS: NIET GEKWANTIFICEERD, TOCH GEINSTALLEERD</w:t>
      </w:r>
    </w:p>
    <w:p xmlns:wp14="http://schemas.microsoft.com/office/word/2010/wordml" w14:paraId="7B3B1A25" wp14:textId="77777777">
      <w:pPr>
        <w:pStyle w:val="Heading3"/>
      </w:pPr>
      <w:r>
        <w:t>7.1 GWP van 23.500 niet in beeld gebracht</w:t>
      </w:r>
    </w:p>
    <w:p xmlns:wp14="http://schemas.microsoft.com/office/word/2010/wordml" w14:paraId="717DD20C" wp14:textId="77777777">
      <w:r>
        <w:t xml:space="preserve">Het MER vermeldt SF6-gebruik in de GIS-stations maar kwantificeert de hoeveelheden </w:t>
      </w:r>
      <w:r>
        <w:rPr>
          <w:b/>
        </w:rPr>
        <w:t>niet</w:t>
      </w:r>
      <w:r>
        <w:t xml:space="preserve"> en berekent </w:t>
      </w:r>
      <w:r>
        <w:rPr>
          <w:b/>
        </w:rPr>
        <w:t>geen CO2-equivalenten</w:t>
      </w:r>
      <w:r>
        <w:t>:</w:t>
      </w:r>
    </w:p>
    <w:p xmlns:wp14="http://schemas.microsoft.com/office/word/2010/wordml" w14:paraId="19D0F906" wp14:textId="77777777">
      <w:pPr>
        <w:spacing w:before="120" w:after="120"/>
        <w:ind w:left="850"/>
        <w:pBdr>
          <w:left w:val="single" w:color="999999" w:sz="12" w:space="8"/>
        </w:pBdr>
      </w:pPr>
      <w:r>
        <w:rPr>
          <w:i/>
          <w:color w:val="444444"/>
        </w:rPr>
        <w:t>"Ter hoogte van de uitbreiding van het hoogspanningsstation Gezelle is er een mogelijk risico op ontsnappen van broeikasgassen gezien het een GIS-station betreft en er ook GIB's voorzien worden. Er zal dus SF6-gas gebruikt worden."</w:t>
      </w:r>
      <w:r>
        <w:rPr>
          <w:i/>
          <w:color w:val="444444"/>
        </w:rPr>
        <w:t xml:space="preserve"> (p. 15-9)</w:t>
      </w:r>
    </w:p>
    <w:p xmlns:wp14="http://schemas.microsoft.com/office/word/2010/wordml" w14:paraId="06D2880A" wp14:textId="77777777">
      <w:r>
        <w:t xml:space="preserve">SF6 (zwavelhexafluoride) heeft een </w:t>
      </w:r>
      <w:r>
        <w:rPr>
          <w:b/>
        </w:rPr>
        <w:t>Global Warming Potential (GWP) van 23.500</w:t>
      </w:r>
      <w:r>
        <w:t xml:space="preserve"> (IPCC AR6) -- het is 23.500 maal krachtiger dan CO2 als broeikasgas. Een typisch GIS-station kan honderden kilogrammen SF6 bevatten. Het MER:</w:t>
      </w:r>
    </w:p>
    <w:p xmlns:wp14="http://schemas.microsoft.com/office/word/2010/wordml" w14:paraId="6EF5E43E" wp14:textId="77777777">
      <w:pPr>
        <w:pStyle w:val="ListBullet"/>
        <w:spacing w:after="60"/>
        <w:ind w:left="720"/>
      </w:pPr>
      <w:r>
        <w:t>Vermeldt niet hoeveel kg/ton SF6 zal worden gebruikt;</w:t>
      </w:r>
    </w:p>
    <w:p xmlns:wp14="http://schemas.microsoft.com/office/word/2010/wordml" w14:paraId="6F07E1EF" wp14:textId="77777777">
      <w:pPr>
        <w:pStyle w:val="ListBullet"/>
        <w:spacing w:after="60"/>
        <w:ind w:left="720"/>
      </w:pPr>
      <w:r>
        <w:t>Berekent geen CO2-equivalenten;</w:t>
      </w:r>
    </w:p>
    <w:p xmlns:wp14="http://schemas.microsoft.com/office/word/2010/wordml" w14:paraId="74689DAC" wp14:textId="77777777">
      <w:pPr>
        <w:pStyle w:val="ListBullet"/>
        <w:spacing w:after="60"/>
        <w:ind w:left="720"/>
      </w:pPr>
      <w:r>
        <w:t>Vermeldt geen lekpercentages;</w:t>
      </w:r>
    </w:p>
    <w:p xmlns:wp14="http://schemas.microsoft.com/office/word/2010/wordml" w14:paraId="2FBB75E8" wp14:textId="77777777">
      <w:pPr>
        <w:pStyle w:val="ListBullet"/>
        <w:spacing w:after="60"/>
        <w:ind w:left="720"/>
      </w:pPr>
      <w:r>
        <w:t>Bespreekt geen alternatieve technologieen (CF3I, Clean Air, g3-gas).</w:t>
      </w:r>
    </w:p>
    <w:p xmlns:wp14="http://schemas.microsoft.com/office/word/2010/wordml" w14:paraId="004344A4" wp14:textId="77777777">
      <w:pPr>
        <w:pStyle w:val="Heading3"/>
      </w:pPr>
      <w:r>
        <w:t>7.2 EU-uitfasering genegeerd</w:t>
      </w:r>
    </w:p>
    <w:p xmlns:wp14="http://schemas.microsoft.com/office/word/2010/wordml" w14:paraId="1EA7E375" wp14:textId="77777777">
      <w:r>
        <w:t xml:space="preserve">De </w:t>
      </w:r>
      <w:r>
        <w:rPr>
          <w:b/>
        </w:rPr>
        <w:t>Europese F-gassenverordening (EU 2024/573)</w:t>
      </w:r>
      <w:r>
        <w:t xml:space="preserve"> voorziet in een gefaseerde uitfasering van SF6 in schakelmaterieel voor middenspanning (vanaf 2026) en hoogspanning (vanaf 2035 voor nieuwe installaties waar alternatieven beschikbaar zijn). Het Ventilus-project installeert SF6-technologie die is ontworpen voor een levensduur van </w:t>
      </w:r>
      <w:r>
        <w:rPr>
          <w:b/>
        </w:rPr>
        <w:t>40 jaar of meer</w:t>
      </w:r>
      <w:r>
        <w:t>, terwijl de EU deze technologie actief uitfaseert. De keuze voor SF6-apparatuur in een nieuw project dat pas in 2028-2030 operationeel wordt, is extra problematisch: het project zal bij ingebruikname reeds in strijd zijn met de richting van het EU-beleid en mogelijk met de dan geldende normen.</w:t>
      </w:r>
    </w:p>
    <w:p xmlns:wp14="http://schemas.microsoft.com/office/word/2010/wordml" w14:paraId="0F34D91B" wp14:textId="77777777">
      <w:r>
        <w:t xml:space="preserve">Dit is bijzonder relevant omdat SF6-vrije alternatieven </w:t>
      </w:r>
      <w:r>
        <w:rPr>
          <w:b/>
        </w:rPr>
        <w:t>reeds commercieel beschikbaar</w:t>
      </w:r>
      <w:r>
        <w:t xml:space="preserve"> zijn voor hoogspanning. Fabrikanten als Siemens Energy (Clean Air), GE Grid Solutions (g3-gas) en Hitachi Energy bieden SF6-vrije GIS-installaties aan voor spanningsniveaus tot 420 kV. Het niet onderzoeken van deze alternatieven is in strijd met de verplichting tot alternativenbeoordeling en met het beginsel van preventief handelen.</w:t>
      </w:r>
    </w:p>
    <w:p xmlns:wp14="http://schemas.microsoft.com/office/word/2010/wordml" w14:paraId="7E5A9EEC" wp14:textId="77777777">
      <w:r>
        <w:rPr>
          <w:b/>
        </w:rPr>
        <w:t>Juridische grondslag:</w:t>
      </w:r>
      <w:r>
        <w:t xml:space="preserve"> EU F-gassenverordening 2024/573 (art. 3, 11 en bijlage IV); EU Klimaatwet (Verordening 2021/1119); art. 191(2) VWEU; MER-richtlijn 2014/52/EU (klimaatbeoordeling).</w:t>
      </w:r>
    </w:p>
    <w:p xmlns:wp14="http://schemas.microsoft.com/office/word/2010/wordml" w14:paraId="0E27B00A" wp14:textId="77777777">
      <w:pPr>
        <w:spacing w:before="240" w:after="240"/>
        <w:pBdr>
          <w:bottom w:val="single" w:color="CCCCCC" w:sz="6" w:space="1"/>
        </w:pBdr>
      </w:pPr>
    </w:p>
    <w:p xmlns:wp14="http://schemas.microsoft.com/office/word/2010/wordml" w14:paraId="043BF14F" wp14:textId="77777777">
      <w:pPr>
        <w:pStyle w:val="Heading2"/>
      </w:pPr>
      <w:r>
        <w:t>8. ONTBREKENDE LEVENSCYCLUSANALYSE</w:t>
      </w:r>
    </w:p>
    <w:p xmlns:wp14="http://schemas.microsoft.com/office/word/2010/wordml" w14:paraId="41CB4C5C" wp14:textId="77777777">
      <w:pPr>
        <w:pStyle w:val="Heading3"/>
      </w:pPr>
      <w:r>
        <w:t>8.1 Geen volledige LCA</w:t>
      </w:r>
    </w:p>
    <w:p xmlns:wp14="http://schemas.microsoft.com/office/word/2010/wordml" w14:paraId="0F737AA9" wp14:textId="77777777">
      <w:r>
        <w:t>Het MER beoordeelt klimaateffecten als "beperkt negatief (-1)" voor de aanlegfase en "positief (+2)" voor de exploitatiefase (facilitering energietransitie), zonder een volledige levenscyclusanalyse (LCA).</w:t>
      </w:r>
    </w:p>
    <w:p xmlns:wp14="http://schemas.microsoft.com/office/word/2010/wordml" w14:paraId="5EF76C7A" wp14:textId="77777777">
      <w:r>
        <w:t>Ontbrekende elementen:</w:t>
      </w:r>
    </w:p>
    <w:p xmlns:wp14="http://schemas.microsoft.com/office/word/2010/wordml" w14:paraId="1BA58D4D" wp14:textId="77777777">
      <w:pPr>
        <w:pStyle w:val="ListBullet"/>
        <w:spacing w:after="60"/>
        <w:ind w:left="720"/>
      </w:pPr>
      <w:r>
        <w:rPr>
          <w:b/>
        </w:rPr>
        <w:t>Productie en transport</w:t>
      </w:r>
      <w:r>
        <w:t xml:space="preserve"> van honderden stalen masten, duizenden kilometers geleiders, transformatoren en GIS-installaties;</w:t>
      </w:r>
    </w:p>
    <w:p xmlns:wp14="http://schemas.microsoft.com/office/word/2010/wordml" w14:paraId="5C9EF69A" wp14:textId="77777777">
      <w:pPr>
        <w:pStyle w:val="ListBullet"/>
        <w:spacing w:after="60"/>
        <w:ind w:left="720"/>
      </w:pPr>
      <w:r>
        <w:rPr>
          <w:b/>
        </w:rPr>
        <w:t>SF6-levenscyclusemissies</w:t>
      </w:r>
      <w:r>
        <w:t xml:space="preserve"> (productie, lekkage, ontmanteling);</w:t>
      </w:r>
    </w:p>
    <w:p xmlns:wp14="http://schemas.microsoft.com/office/word/2010/wordml" w14:paraId="68AD10F0" wp14:textId="77777777">
      <w:pPr>
        <w:pStyle w:val="ListBullet"/>
        <w:spacing w:after="60"/>
        <w:ind w:left="720"/>
      </w:pPr>
      <w:r>
        <w:rPr>
          <w:b/>
        </w:rPr>
        <w:t>Energieverbruik</w:t>
      </w:r>
      <w:r>
        <w:t xml:space="preserve"> voor aanleg (dieselmachines, betonproductie);</w:t>
      </w:r>
    </w:p>
    <w:p xmlns:wp14="http://schemas.microsoft.com/office/word/2010/wordml" w14:paraId="5D6FCE93" wp14:textId="77777777">
      <w:pPr>
        <w:pStyle w:val="ListBullet"/>
        <w:spacing w:after="60"/>
        <w:ind w:left="720"/>
      </w:pPr>
      <w:r>
        <w:rPr>
          <w:b/>
        </w:rPr>
        <w:t>Ontmanteling</w:t>
      </w:r>
      <w:r>
        <w:t xml:space="preserve"> aan het einde van de levensduur;</w:t>
      </w:r>
    </w:p>
    <w:p xmlns:wp14="http://schemas.microsoft.com/office/word/2010/wordml" w14:paraId="50EE8EA8" wp14:textId="77777777">
      <w:pPr>
        <w:pStyle w:val="ListBullet"/>
        <w:spacing w:after="60"/>
        <w:ind w:left="720"/>
      </w:pPr>
      <w:r>
        <w:rPr>
          <w:b/>
        </w:rPr>
        <w:t>Vergelijking</w:t>
      </w:r>
      <w:r>
        <w:t xml:space="preserve"> met het alternatief van volledige ondergrondse aanleg.</w:t>
      </w:r>
    </w:p>
    <w:p xmlns:wp14="http://schemas.microsoft.com/office/word/2010/wordml" w14:paraId="79D36AD5" wp14:textId="77777777">
      <w:r>
        <w:t xml:space="preserve">Zonder volledige LCA is de bewering dat het project "de energietransitie faciliteert" en netto klimaatpositief is, </w:t>
      </w:r>
      <w:r>
        <w:rPr>
          <w:b/>
        </w:rPr>
        <w:t>onverifieerbaar</w:t>
      </w:r>
      <w:r>
        <w:t>.</w:t>
      </w:r>
    </w:p>
    <w:p xmlns:wp14="http://schemas.microsoft.com/office/word/2010/wordml" w14:paraId="046EAA23" wp14:textId="77777777">
      <w:pPr>
        <w:pStyle w:val="Heading3"/>
      </w:pPr>
      <w:r>
        <w:t>8.2 Veenoxidatie door bemaling niet gekwantificeerd</w:t>
      </w:r>
    </w:p>
    <w:p xmlns:wp14="http://schemas.microsoft.com/office/word/2010/wordml" w14:paraId="489927AA" wp14:textId="77777777">
      <w:r>
        <w:t>Het MER erkent:</w:t>
      </w:r>
    </w:p>
    <w:p xmlns:wp14="http://schemas.microsoft.com/office/word/2010/wordml" w14:paraId="565B435E" wp14:textId="77777777">
      <w:pPr>
        <w:spacing w:before="120" w:after="120"/>
        <w:ind w:left="850"/>
        <w:pBdr>
          <w:left w:val="single" w:color="999999" w:sz="12" w:space="8"/>
        </w:pBdr>
      </w:pPr>
      <w:r>
        <w:rPr>
          <w:i/>
          <w:color w:val="444444"/>
        </w:rPr>
        <w:t>"Het ontwateren van veen kan namelijk leiden tot het vrijzetten van CO2."</w:t>
      </w:r>
      <w:r>
        <w:rPr>
          <w:i/>
          <w:color w:val="444444"/>
        </w:rPr>
        <w:t xml:space="preserve"> (p. 15-10)</w:t>
      </w:r>
    </w:p>
    <w:p xmlns:wp14="http://schemas.microsoft.com/office/word/2010/wordml" w14:paraId="074AAD7C" wp14:textId="77777777">
      <w:r>
        <w:t xml:space="preserve">Het noordelijk deel van het projectgebied (aanlandingslocatie tot E40) bevat zones met </w:t>
      </w:r>
      <w:r>
        <w:rPr>
          <w:i/>
        </w:rPr>
        <w:t>"(zeer) waarschijnlijk tot bijna zeker veen"</w:t>
      </w:r>
      <w:r>
        <w:t xml:space="preserve"> op 1,5-10 meter diepte (p. 15-8). Bemaling in deze zones kan leiden tot </w:t>
      </w:r>
      <w:r>
        <w:rPr>
          <w:b/>
        </w:rPr>
        <w:t>irreversibele veenoxidatie</w:t>
      </w:r>
      <w:r>
        <w:t xml:space="preserve"> en CO2-uitstoot die decennia kan doorgaan.</w:t>
      </w:r>
    </w:p>
    <w:p xmlns:wp14="http://schemas.microsoft.com/office/word/2010/wordml" w14:paraId="14043356" wp14:textId="77777777">
      <w:r>
        <w:t xml:space="preserve">Het MER kwantificeert deze emissie niet en doet ze af als </w:t>
      </w:r>
      <w:r>
        <w:rPr>
          <w:i/>
        </w:rPr>
        <w:t>"tijdelijke bemalingen, waardoor geen permanente uitdroging verwacht wordt."</w:t>
      </w:r>
      <w:r>
        <w:t xml:space="preserve"> Deze aanname is niet onderbouwd met hydrologische modellering. Veenoxidatie die eenmaal is ingezet, kan doorzetten ook na het stopzetten van de bemaling, met name bij gewijzigde grondwaterstanden.</w:t>
      </w:r>
    </w:p>
    <w:p xmlns:wp14="http://schemas.microsoft.com/office/word/2010/wordml" w14:paraId="2E1C50BA" wp14:textId="77777777">
      <w:pPr>
        <w:pStyle w:val="Heading3"/>
      </w:pPr>
      <w:r>
        <w:t>8.3 Ontbossing niet gekwantificeerd</w:t>
      </w:r>
    </w:p>
    <w:p xmlns:wp14="http://schemas.microsoft.com/office/word/2010/wordml" w14:paraId="2209E473" wp14:textId="77777777">
      <w:r>
        <w:t xml:space="preserve">Het MER erkent dat vegetatie wordt verwijderd en dat </w:t>
      </w:r>
      <w:r>
        <w:rPr>
          <w:i/>
        </w:rPr>
        <w:t>"de koolstofbalans minstens tijdelijk verstoord wordt"</w:t>
      </w:r>
      <w:r>
        <w:t xml:space="preserve"> (p. 15-9), maar kwantificeert de CO2-impact van ontbossing niet. Bij een permanent verlies van diepwortelende vegetatie in de veiligheidszone (geen hoge begroeiing toegestaan onder bovengrondse lijnen) gaat het om een </w:t>
      </w:r>
      <w:r>
        <w:rPr>
          <w:b/>
        </w:rPr>
        <w:t>permanente reductie van koolstofopslag</w:t>
      </w:r>
      <w:r>
        <w:t xml:space="preserve"> over het volledige trace.</w:t>
      </w:r>
    </w:p>
    <w:p xmlns:wp14="http://schemas.microsoft.com/office/word/2010/wordml" w14:paraId="7DEC6992" wp14:textId="77777777">
      <w:r>
        <w:rPr>
          <w:b/>
        </w:rPr>
        <w:t>Juridische grondslag:</w:t>
      </w:r>
      <w:r>
        <w:t xml:space="preserve"> EU Klimaatwet (Verordening 2021/1119); LULUCF-verordening; MER-richtlijn 2014/52/EU art. 3(1) (klimaatbeoordeling); Akkoord van Parijs art. 2.</w:t>
      </w:r>
    </w:p>
    <w:p xmlns:wp14="http://schemas.microsoft.com/office/word/2010/wordml" w14:paraId="3BF92FF5" wp14:textId="77777777">
      <w:pPr>
        <w:pStyle w:val="Heading3"/>
      </w:pPr>
      <w:r>
        <w:t>8.4 Blue Deal: verharding in plaats van ontharding</w:t>
      </w:r>
    </w:p>
    <w:p xmlns:wp14="http://schemas.microsoft.com/office/word/2010/wordml" w14:paraId="4023A29F" wp14:textId="77777777">
      <w:r>
        <w:t xml:space="preserve">Het Vlaamse </w:t>
      </w:r>
      <w:r>
        <w:rPr>
          <w:b/>
        </w:rPr>
        <w:t>Blue Deal-programma</w:t>
      </w:r>
      <w:r>
        <w:t xml:space="preserve"> — het strategisch plan voor de strijd tegen waterschaarste en droogte — stelt ontharding, infiltratie en waterberging centraal als klimaatadaptatiemaatregelen. Het Ventilus-project werkt dit beleid rechtstreeks tegen. De aanleg van het tracé veroorzaakt significante </w:t>
      </w:r>
      <w:r>
        <w:rPr>
          <w:b/>
        </w:rPr>
        <w:t>bijkomende verharding</w:t>
      </w:r>
      <w:r>
        <w:t>: betonfunderingen voor 49 nieuwe masten, verharde werfzones langs het volledige tracé, kabeltracés met inspectieputten en mofputten, en toegangswegen naar mastlocaties. In de ondergrondse segmenten worden open sleuven gegraven die de bodemstructuur en het infiltratievermogen permanent verstoren.</w:t>
      </w:r>
    </w:p>
    <w:p xmlns:wp14="http://schemas.microsoft.com/office/word/2010/wordml" w14:paraId="230CF270" wp14:textId="77777777">
      <w:r w:rsidR="50C8EF53">
        <w:rPr/>
        <w:t xml:space="preserve">De </w:t>
      </w:r>
      <w:r w:rsidR="50C8EF53">
        <w:rPr/>
        <w:t>watertoets</w:t>
      </w:r>
      <w:r w:rsidR="50C8EF53">
        <w:rPr/>
        <w:t xml:space="preserve"> in het MER is </w:t>
      </w:r>
      <w:r w:rsidR="50C8EF53">
        <w:rPr/>
        <w:t>bovendien</w:t>
      </w:r>
      <w:r w:rsidR="50C8EF53">
        <w:rPr/>
        <w:t xml:space="preserve"> </w:t>
      </w:r>
      <w:r w:rsidR="50C8EF53">
        <w:rPr/>
        <w:t>uitsluitend</w:t>
      </w:r>
      <w:r w:rsidR="50C8EF53">
        <w:rPr/>
        <w:t xml:space="preserve"> </w:t>
      </w:r>
      <w:r w:rsidR="50C8EF53">
        <w:rPr/>
        <w:t>uitgevoerd</w:t>
      </w:r>
      <w:r w:rsidR="50C8EF53">
        <w:rPr/>
        <w:t xml:space="preserve"> </w:t>
      </w:r>
      <w:r w:rsidR="50C8EF53">
        <w:rPr/>
        <w:t>voor</w:t>
      </w:r>
      <w:r w:rsidR="50C8EF53">
        <w:rPr/>
        <w:t xml:space="preserve"> het </w:t>
      </w:r>
      <w:r w:rsidRPr="50C8EF53" w:rsidR="50C8EF53">
        <w:rPr>
          <w:b w:val="1"/>
          <w:bCs w:val="1"/>
        </w:rPr>
        <w:t>huidige</w:t>
      </w:r>
      <w:r w:rsidRPr="50C8EF53" w:rsidR="50C8EF53">
        <w:rPr>
          <w:b w:val="1"/>
          <w:bCs w:val="1"/>
        </w:rPr>
        <w:t xml:space="preserve"> </w:t>
      </w:r>
      <w:r w:rsidRPr="50C8EF53" w:rsidR="50C8EF53">
        <w:rPr>
          <w:b w:val="1"/>
          <w:bCs w:val="1"/>
        </w:rPr>
        <w:t>klimaat</w:t>
      </w:r>
      <w:r w:rsidR="50C8EF53">
        <w:rPr/>
        <w:t xml:space="preserve">, </w:t>
      </w:r>
      <w:r w:rsidR="50C8EF53">
        <w:rPr/>
        <w:t>niet</w:t>
      </w:r>
      <w:r w:rsidR="50C8EF53">
        <w:rPr/>
        <w:t xml:space="preserve"> </w:t>
      </w:r>
      <w:r w:rsidR="50C8EF53">
        <w:rPr/>
        <w:t>voor</w:t>
      </w:r>
      <w:r w:rsidR="50C8EF53">
        <w:rPr/>
        <w:t xml:space="preserve"> </w:t>
      </w:r>
      <w:r w:rsidR="50C8EF53">
        <w:rPr/>
        <w:t>toekomstige</w:t>
      </w:r>
      <w:r w:rsidR="50C8EF53">
        <w:rPr/>
        <w:t xml:space="preserve"> </w:t>
      </w:r>
      <w:r w:rsidR="50C8EF53">
        <w:rPr/>
        <w:t>klimaatscenario's</w:t>
      </w:r>
      <w:r w:rsidR="50C8EF53">
        <w:rPr/>
        <w:t xml:space="preserve">. In </w:t>
      </w:r>
      <w:r w:rsidR="50C8EF53">
        <w:rPr/>
        <w:t>een</w:t>
      </w:r>
      <w:r w:rsidR="50C8EF53">
        <w:rPr/>
        <w:t xml:space="preserve"> context </w:t>
      </w:r>
      <w:r w:rsidR="50C8EF53">
        <w:rPr/>
        <w:t>waarin</w:t>
      </w:r>
      <w:r w:rsidR="50C8EF53">
        <w:rPr/>
        <w:t xml:space="preserve"> de </w:t>
      </w:r>
      <w:r w:rsidR="50C8EF53">
        <w:rPr/>
        <w:t>Vlaamse</w:t>
      </w:r>
      <w:r w:rsidR="50C8EF53">
        <w:rPr/>
        <w:t xml:space="preserve"> </w:t>
      </w:r>
      <w:r w:rsidR="50C8EF53">
        <w:rPr/>
        <w:t>overheid</w:t>
      </w:r>
      <w:r w:rsidR="50C8EF53">
        <w:rPr/>
        <w:t xml:space="preserve"> via het Blue Deal-</w:t>
      </w:r>
      <w:r w:rsidR="50C8EF53">
        <w:rPr/>
        <w:t>programma</w:t>
      </w:r>
      <w:r w:rsidR="50C8EF53">
        <w:rPr/>
        <w:t xml:space="preserve"> </w:t>
      </w:r>
      <w:r w:rsidR="50C8EF53">
        <w:rPr/>
        <w:t>investeert</w:t>
      </w:r>
      <w:r w:rsidR="50C8EF53">
        <w:rPr/>
        <w:t xml:space="preserve"> in </w:t>
      </w:r>
      <w:r w:rsidR="50C8EF53">
        <w:rPr/>
        <w:t>ontharding</w:t>
      </w:r>
      <w:r w:rsidR="50C8EF53">
        <w:rPr/>
        <w:t xml:space="preserve"> </w:t>
      </w:r>
      <w:r w:rsidR="50C8EF53">
        <w:rPr/>
        <w:t>en</w:t>
      </w:r>
      <w:r w:rsidR="50C8EF53">
        <w:rPr/>
        <w:t xml:space="preserve"> </w:t>
      </w:r>
      <w:r w:rsidR="50C8EF53">
        <w:rPr/>
        <w:t>klimaatadaptatie</w:t>
      </w:r>
      <w:r w:rsidR="50C8EF53">
        <w:rPr/>
        <w:t xml:space="preserve">, is het intern </w:t>
      </w:r>
      <w:r w:rsidR="50C8EF53">
        <w:rPr/>
        <w:t>tegenstrijdig</w:t>
      </w:r>
      <w:r w:rsidR="50C8EF53">
        <w:rPr/>
        <w:t xml:space="preserve"> </w:t>
      </w:r>
      <w:r w:rsidR="50C8EF53">
        <w:rPr/>
        <w:t>dat</w:t>
      </w:r>
      <w:r w:rsidR="50C8EF53">
        <w:rPr/>
        <w:t xml:space="preserve"> </w:t>
      </w:r>
      <w:r w:rsidR="50C8EF53">
        <w:rPr/>
        <w:t>diezelfde</w:t>
      </w:r>
      <w:r w:rsidR="50C8EF53">
        <w:rPr/>
        <w:t xml:space="preserve"> </w:t>
      </w:r>
      <w:r w:rsidR="50C8EF53">
        <w:rPr/>
        <w:t>overheid</w:t>
      </w:r>
      <w:r w:rsidR="50C8EF53">
        <w:rPr/>
        <w:t xml:space="preserve"> </w:t>
      </w:r>
      <w:r w:rsidR="50C8EF53">
        <w:rPr/>
        <w:t>een</w:t>
      </w:r>
      <w:r w:rsidR="50C8EF53">
        <w:rPr/>
        <w:t xml:space="preserve"> project </w:t>
      </w:r>
      <w:r w:rsidR="50C8EF53">
        <w:rPr/>
        <w:t>vergunt</w:t>
      </w:r>
      <w:r w:rsidR="50C8EF53">
        <w:rPr/>
        <w:t xml:space="preserve"> </w:t>
      </w:r>
      <w:r w:rsidR="50C8EF53">
        <w:rPr/>
        <w:t>dat</w:t>
      </w:r>
      <w:r w:rsidR="50C8EF53">
        <w:rPr/>
        <w:t xml:space="preserve"> </w:t>
      </w:r>
      <w:r w:rsidR="50C8EF53">
        <w:rPr/>
        <w:t>verharding</w:t>
      </w:r>
      <w:r w:rsidR="50C8EF53">
        <w:rPr/>
        <w:t xml:space="preserve"> </w:t>
      </w:r>
      <w:r w:rsidR="50C8EF53">
        <w:rPr/>
        <w:t>toevoegt</w:t>
      </w:r>
      <w:r w:rsidR="50C8EF53">
        <w:rPr/>
        <w:t xml:space="preserve"> </w:t>
      </w:r>
      <w:r w:rsidR="50C8EF53">
        <w:rPr/>
        <w:t>zonder</w:t>
      </w:r>
      <w:r w:rsidR="50C8EF53">
        <w:rPr/>
        <w:t xml:space="preserve"> de </w:t>
      </w:r>
      <w:r w:rsidR="50C8EF53">
        <w:rPr/>
        <w:t>effecten</w:t>
      </w:r>
      <w:r w:rsidR="50C8EF53">
        <w:rPr/>
        <w:t xml:space="preserve"> op </w:t>
      </w:r>
      <w:r w:rsidR="50C8EF53">
        <w:rPr/>
        <w:t>infiltratie</w:t>
      </w:r>
      <w:r w:rsidR="50C8EF53">
        <w:rPr/>
        <w:t xml:space="preserve">, </w:t>
      </w:r>
      <w:r w:rsidR="50C8EF53">
        <w:rPr/>
        <w:t>waterberging</w:t>
      </w:r>
      <w:r w:rsidR="50C8EF53">
        <w:rPr/>
        <w:t xml:space="preserve"> </w:t>
      </w:r>
      <w:r w:rsidR="50C8EF53">
        <w:rPr/>
        <w:t>en</w:t>
      </w:r>
      <w:r w:rsidR="50C8EF53">
        <w:rPr/>
        <w:t xml:space="preserve"> </w:t>
      </w:r>
      <w:r w:rsidR="50C8EF53">
        <w:rPr/>
        <w:t>klimaatadaptatie</w:t>
      </w:r>
      <w:r w:rsidR="50C8EF53">
        <w:rPr/>
        <w:t xml:space="preserve"> </w:t>
      </w:r>
      <w:r w:rsidR="50C8EF53">
        <w:rPr/>
        <w:t>te</w:t>
      </w:r>
      <w:r w:rsidR="50C8EF53">
        <w:rPr/>
        <w:t xml:space="preserve"> </w:t>
      </w:r>
      <w:r w:rsidR="50C8EF53">
        <w:rPr/>
        <w:t>beoordelen</w:t>
      </w:r>
      <w:r w:rsidR="50C8EF53">
        <w:rPr/>
        <w:t xml:space="preserve"> </w:t>
      </w:r>
      <w:r w:rsidRPr="50C8EF53" w:rsidR="50C8EF53">
        <w:rPr>
          <w:b w:val="1"/>
          <w:bCs w:val="1"/>
        </w:rPr>
        <w:t>onder</w:t>
      </w:r>
      <w:r w:rsidRPr="50C8EF53" w:rsidR="50C8EF53">
        <w:rPr>
          <w:b w:val="1"/>
          <w:bCs w:val="1"/>
        </w:rPr>
        <w:t xml:space="preserve"> </w:t>
      </w:r>
      <w:r w:rsidRPr="50C8EF53" w:rsidR="50C8EF53">
        <w:rPr>
          <w:b w:val="1"/>
          <w:bCs w:val="1"/>
        </w:rPr>
        <w:t>toekomstige</w:t>
      </w:r>
      <w:r w:rsidRPr="50C8EF53" w:rsidR="50C8EF53">
        <w:rPr>
          <w:b w:val="1"/>
          <w:bCs w:val="1"/>
        </w:rPr>
        <w:t xml:space="preserve"> </w:t>
      </w:r>
      <w:r w:rsidRPr="50C8EF53" w:rsidR="50C8EF53">
        <w:rPr>
          <w:b w:val="1"/>
          <w:bCs w:val="1"/>
        </w:rPr>
        <w:t>klimaatscenario's</w:t>
      </w:r>
      <w:r w:rsidR="50C8EF53">
        <w:rPr/>
        <w:t>.</w:t>
      </w:r>
    </w:p>
    <w:p xmlns:wp14="http://schemas.microsoft.com/office/word/2010/wordml" w14:paraId="68EEE1EF" wp14:textId="77777777">
      <w:r>
        <w:t>De tegenstrijdigheid is des te scherper omdat het Ventilus-project zich presenteert als bijdrage aan de energietransitie en het klimaatbeleid, terwijl het op het vlak van klimaatadaptatie — een even essentieel onderdeel van het klimaatbeleid — het Vlaamse beleid ondermijnt.</w:t>
      </w:r>
    </w:p>
    <w:p xmlns:wp14="http://schemas.microsoft.com/office/word/2010/wordml" w14:paraId="05F32336" wp14:textId="77777777">
      <w:r w:rsidRPr="50C8EF53" w:rsidR="50C8EF53">
        <w:rPr>
          <w:b w:val="1"/>
          <w:bCs w:val="1"/>
        </w:rPr>
        <w:t>Juridische grondslag:</w:t>
      </w:r>
      <w:r w:rsidR="50C8EF53">
        <w:rPr/>
        <w:t xml:space="preserve"> Blue Deal (beslissing Vlaamse Regering, 2020); Vlaamse Klimaatstrategie 2050; art. 4.3.7 DABM (leemten in kennis — watertoets zonder klimaatscenario's); voorzorgsbeginsel art. 191(2) VWEU.</w:t>
      </w:r>
    </w:p>
    <w:p xmlns:wp14="http://schemas.microsoft.com/office/word/2010/wordml" w14:paraId="60061E4C" wp14:textId="77777777">
      <w:pPr>
        <w:spacing w:before="240" w:after="240"/>
        <w:pBdr>
          <w:bottom w:val="single" w:color="CCCCCC" w:sz="6" w:space="1"/>
        </w:pBdr>
      </w:pPr>
    </w:p>
    <w:p xmlns:wp14="http://schemas.microsoft.com/office/word/2010/wordml" w14:paraId="7EDBE5B7" wp14:textId="77777777">
      <w:pPr>
        <w:pStyle w:val="Heading2"/>
      </w:pPr>
      <w:r>
        <w:t>9. LICHTBEBAKENING ALS PERMANENT EFFECT</w:t>
      </w:r>
    </w:p>
    <w:p xmlns:wp14="http://schemas.microsoft.com/office/word/2010/wordml" w14:paraId="78B42D66" wp14:textId="77777777">
      <w:r>
        <w:t xml:space="preserve">Het Directoraat-generaal Luchtvaart (DGLV) bevestigt in haar advies dat elke mast moet worden voorzien van </w:t>
      </w:r>
      <w:r>
        <w:rPr>
          <w:b/>
        </w:rPr>
        <w:t>3 knipperlichten op 3 niveaus</w:t>
      </w:r>
      <w:r>
        <w:t xml:space="preserve"> -- dag en nacht. Dit is een permanent visueel effect dat ook als </w:t>
      </w:r>
      <w:r>
        <w:rPr>
          <w:b/>
        </w:rPr>
        <w:t>permanente lichthinder</w:t>
      </w:r>
      <w:r>
        <w:t xml:space="preserve"> kwalificeert.</w:t>
      </w:r>
    </w:p>
    <w:p xmlns:wp14="http://schemas.microsoft.com/office/word/2010/wordml" w14:paraId="0AF56D29" wp14:textId="77777777">
      <w:r>
        <w:t xml:space="preserve">In het landelijk gebied langs de E403, waar het omgevingslicht 's nachts laag is, zullen tientallen masten met elk 9 knipperlichten (3 niveaus x 3 lichten) een </w:t>
      </w:r>
      <w:r>
        <w:rPr>
          <w:b/>
        </w:rPr>
        <w:t>industrieel nachtelijk lichtbeeld</w:t>
      </w:r>
      <w:r>
        <w:t xml:space="preserve"> creeren dat het landelijk karakter van het gebied permanent aantast.</w:t>
      </w:r>
    </w:p>
    <w:p xmlns:wp14="http://schemas.microsoft.com/office/word/2010/wordml" w14:paraId="37CD82B3" wp14:textId="77777777">
      <w:r>
        <w:t>Het MER behandelt lichtbebakening niet als geluids- noch als gezondheidseffect, terwijl knipperende lichten 's nachts slaapverstoring kunnen veroorzaken bij omwonenden met zicht op de masten.</w:t>
      </w:r>
    </w:p>
    <w:p xmlns:wp14="http://schemas.microsoft.com/office/word/2010/wordml" w14:paraId="44EAFD9C" wp14:textId="77777777">
      <w:pPr>
        <w:spacing w:before="240" w:after="240"/>
        <w:pBdr>
          <w:bottom w:val="single" w:color="CCCCCC" w:sz="6" w:space="1"/>
        </w:pBdr>
      </w:pPr>
    </w:p>
    <w:p xmlns:wp14="http://schemas.microsoft.com/office/word/2010/wordml" w14:paraId="3B3ACB05" wp14:textId="77777777">
      <w:pPr>
        <w:pStyle w:val="Heading2"/>
      </w:pPr>
      <w:r>
        <w:t>9bis. CONCENTRATIE 6 GW OP ENKEL BOVENGRONDS TRACÉ: SYSTEMISCH RISICO</w:t>
      </w:r>
    </w:p>
    <w:p xmlns:wp14="http://schemas.microsoft.com/office/word/2010/wordml" w14:paraId="528B0DE9" wp14:textId="77777777">
      <w:pPr>
        <w:pStyle w:val="Heading3"/>
      </w:pPr>
      <w:r>
        <w:t>9bis.1 Kwetsbaarheid van geconcentreerde bovengrondse netinfrastructuur</w:t>
      </w:r>
    </w:p>
    <w:p xmlns:wp14="http://schemas.microsoft.com/office/word/2010/wordml" w14:paraId="670D035A" wp14:textId="77777777">
      <w:r>
        <w:t xml:space="preserve">Het Ventilus-project concentreert een vermogen van </w:t>
      </w:r>
      <w:r>
        <w:rPr>
          <w:b/>
        </w:rPr>
        <w:t>6 GW</w:t>
      </w:r>
      <w:r>
        <w:t xml:space="preserve"> op een enkel bovengronds tracé. Deze concentratie van transmissiecapaciteit op één kwetsbare bovengrondse corridor creëert een </w:t>
      </w:r>
      <w:r>
        <w:rPr>
          <w:b/>
        </w:rPr>
        <w:t>systemisch risico</w:t>
      </w:r>
      <w:r>
        <w:t xml:space="preserve"> voor de bevoorradingszekerheid. Bovengrondse hoogspanningslijnen zijn inherent kwetsbaar voor extreme weersomstandigheden — stormen, ijsafzetting, blikseminslag — en voor cascade-uitval waarbij het falen van één component een kettingreactie veroorzaakt in het hele netwerk.</w:t>
      </w:r>
    </w:p>
    <w:p xmlns:wp14="http://schemas.microsoft.com/office/word/2010/wordml" w14:paraId="0C7029DF" wp14:textId="77777777">
      <w:pPr>
        <w:pStyle w:val="Heading3"/>
      </w:pPr>
      <w:r>
        <w:t>9bis.2 Spanje-blackout (april 2025) als waarschuwend precedent</w:t>
      </w:r>
    </w:p>
    <w:p xmlns:wp14="http://schemas.microsoft.com/office/word/2010/wordml" w14:paraId="39B72C2D" wp14:textId="77777777">
      <w:r>
        <w:t xml:space="preserve">De </w:t>
      </w:r>
      <w:r>
        <w:rPr>
          <w:b/>
        </w:rPr>
        <w:t>Spanje-blackout van 28 april 2025</w:t>
      </w:r>
      <w:r>
        <w:t xml:space="preserve"> illustreert dit risico op dramatische wijze. Een cascade-uitval in het Spaanse en Portugese elektriciteitsnet leidde tot een grootschalige black-out die meer dan 50 miljoen mensen trof. Het incident toonde aan dat grote geconcentreerde netinfrastructuur bijzonder kwetsbaar is wanneer kritieke verbindingen gelijktijdig falen. De Europese netbeheerders (ENTSO-E) hebben na dit incident expliciet gewezen op de risico's van onvoldoende redundantie in het transmissienet.</w:t>
      </w:r>
    </w:p>
    <w:p xmlns:wp14="http://schemas.microsoft.com/office/word/2010/wordml" w14:paraId="72D9C7DC" wp14:textId="77777777">
      <w:r>
        <w:t>De parallel met Ventilus is direct: de concentratie van 6 GW op een enkel bovengronds tracé van 82 km door West-Vlaanderen creëert precies het type kwetsbare corridor dat bij de Spanje-blackout als structureel risico werd geïdentificeerd. Een zware storm die meerdere masten beschadigt, een ijzelscenario dat geleiders overbelast, of een cascade-uitval die vanuit het Ventilus-tracé doorwerkt in het bredere net, kan de bevoorradingszekerheid van een groot deel van België in gevaar brengen.</w:t>
      </w:r>
    </w:p>
    <w:p xmlns:wp14="http://schemas.microsoft.com/office/word/2010/wordml" w14:paraId="2BEC0D30" wp14:textId="77777777">
      <w:pPr>
        <w:pStyle w:val="Heading3"/>
      </w:pPr>
      <w:r>
        <w:t>9bis.3 Ondergrondse aanleg als veerkrachtiger alternatief</w:t>
      </w:r>
    </w:p>
    <w:p xmlns:wp14="http://schemas.microsoft.com/office/word/2010/wordml" w14:paraId="54F0248B" wp14:textId="77777777">
      <w:r>
        <w:t xml:space="preserve">Ondergrondse kabels zijn </w:t>
      </w:r>
      <w:r>
        <w:rPr>
          <w:b/>
        </w:rPr>
        <w:t>minder kwetsbaar</w:t>
      </w:r>
      <w:r>
        <w:t xml:space="preserve"> voor de belangrijkste risicofactoren van bovengrondse lijnen:</w:t>
      </w:r>
    </w:p>
    <w:p xmlns:wp14="http://schemas.microsoft.com/office/word/2010/wordml" w14:paraId="0DAEF90C" wp14:textId="77777777">
      <w:pPr>
        <w:pStyle w:val="ListBullet"/>
        <w:spacing w:after="60"/>
        <w:ind w:left="720"/>
      </w:pPr>
      <w:r>
        <w:rPr>
          <w:b/>
        </w:rPr>
        <w:t>Stormschade:</w:t>
      </w:r>
      <w:r>
        <w:t xml:space="preserve"> ondergrondse kabels zijn immuun voor windschade die masten kan omleggen;</w:t>
      </w:r>
    </w:p>
    <w:p xmlns:wp14="http://schemas.microsoft.com/office/word/2010/wordml" w14:paraId="3D1D512F" wp14:textId="77777777">
      <w:pPr>
        <w:pStyle w:val="ListBullet"/>
        <w:spacing w:after="60"/>
        <w:ind w:left="720"/>
      </w:pPr>
      <w:r>
        <w:rPr>
          <w:b/>
        </w:rPr>
        <w:t>IJsafzetting:</w:t>
      </w:r>
      <w:r>
        <w:t xml:space="preserve"> het fenomeen van ijsopbouw op geleiders — dat tot spanbreuk kan leiden — bestaat niet bij ondergrondse aanleg;</w:t>
      </w:r>
    </w:p>
    <w:p xmlns:wp14="http://schemas.microsoft.com/office/word/2010/wordml" w14:paraId="1134FDA0" wp14:textId="77777777">
      <w:pPr>
        <w:pStyle w:val="ListBullet"/>
        <w:spacing w:after="60"/>
        <w:ind w:left="720"/>
      </w:pPr>
      <w:r>
        <w:rPr>
          <w:b/>
        </w:rPr>
        <w:t>Cascade-uitval:</w:t>
      </w:r>
      <w:r>
        <w:t xml:space="preserve"> de fysieke scheiding van ondergrondse kabels (in sleuven of tunnels) beperkt het risico dat het falen van één kabel andere kabels meesleurt;</w:t>
      </w:r>
    </w:p>
    <w:p xmlns:wp14="http://schemas.microsoft.com/office/word/2010/wordml" w14:paraId="27F2EF49" wp14:textId="77777777">
      <w:pPr>
        <w:pStyle w:val="ListBullet"/>
        <w:spacing w:after="60"/>
        <w:ind w:left="720"/>
      </w:pPr>
      <w:r>
        <w:rPr>
          <w:b/>
        </w:rPr>
        <w:t>Sabotage en vandalisme:</w:t>
      </w:r>
      <w:r>
        <w:t xml:space="preserve"> ondergrondse kabels zijn moeilijker doelwit dan zichtbare bovengrondse masten.</w:t>
      </w:r>
    </w:p>
    <w:p xmlns:wp14="http://schemas.microsoft.com/office/word/2010/wordml" w14:paraId="18F347CE" wp14:textId="77777777">
      <w:r>
        <w:t xml:space="preserve">Het MER behandelt het veiligheidsaspect in Hoofdstuk 16-17 maar beoordeelt </w:t>
      </w:r>
      <w:r>
        <w:rPr>
          <w:b/>
        </w:rPr>
        <w:t>niet</w:t>
      </w:r>
      <w:r>
        <w:t xml:space="preserve"> het systemisch risico van de concentratie van 6 GW op een enkel bovengronds tracé. De vergelijking met het ondergrondse alternatief op het vlak van netkwetsbaarheid en bevoorradingszekerheid ontbreekt volledig. Na de Spanje-blackout van april 2025 is het niet langer verantwoord om deze afweging niet te maken.</w:t>
      </w:r>
    </w:p>
    <w:p xmlns:wp14="http://schemas.microsoft.com/office/word/2010/wordml" w14:paraId="7C90AE47" wp14:textId="77777777">
      <w:r w:rsidRPr="50C8EF53" w:rsidR="50C8EF53">
        <w:rPr>
          <w:b w:val="1"/>
          <w:bCs w:val="1"/>
        </w:rPr>
        <w:t>Juridische grondslag:</w:t>
      </w:r>
      <w:r w:rsidR="50C8EF53">
        <w:rPr/>
        <w:t xml:space="preserve"> Art. 4.3.7 DABM (leemten in kennis); MER-richtlijn 2014/52/EU bijlage IV lid 5 (risico's van zware ongevallen en rampen); EU Verordening 2019/941 betreffende risicoparaatheid in de elektriciteitssector; voorzorgsbeginsel art. 191(2) VWEU.</w:t>
      </w:r>
    </w:p>
    <w:p xmlns:wp14="http://schemas.microsoft.com/office/word/2010/wordml" w14:paraId="4B94D5A5" wp14:textId="77777777">
      <w:pPr>
        <w:spacing w:before="240" w:after="240"/>
        <w:pBdr>
          <w:bottom w:val="single" w:color="CCCCCC" w:sz="6" w:space="1"/>
        </w:pBdr>
      </w:pPr>
    </w:p>
    <w:p xmlns:wp14="http://schemas.microsoft.com/office/word/2010/wordml" w14:paraId="5C729AB7" wp14:textId="77777777">
      <w:pPr>
        <w:pStyle w:val="Heading2"/>
      </w:pPr>
      <w:r>
        <w:t>10. ADVIEZEN BEVESTIGEN DE BEZWAREN</w:t>
      </w:r>
    </w:p>
    <w:p xmlns:wp14="http://schemas.microsoft.com/office/word/2010/wordml" w14:paraId="7EB8D92B" wp14:textId="77777777">
      <w:pPr>
        <w:pStyle w:val="Heading3"/>
      </w:pPr>
      <w:r>
        <w:t>10.1 Gemeente Zedelgem: 5.189/8.346 woningen</w:t>
      </w:r>
    </w:p>
    <w:p xmlns:wp14="http://schemas.microsoft.com/office/word/2010/wordml" w14:paraId="26165704" wp14:textId="77777777">
      <w:r>
        <w:t xml:space="preserve">De gemeente Zedelgem documenteert voor haar grondgebied alleen: </w:t>
      </w:r>
      <w:r>
        <w:rPr>
          <w:b/>
        </w:rPr>
        <w:t>5.189 woningen</w:t>
      </w:r>
      <w:r>
        <w:t xml:space="preserve"> met MKN-overschrijding overdag en </w:t>
      </w:r>
      <w:r>
        <w:rPr>
          <w:b/>
        </w:rPr>
        <w:t>8.346 woningen</w:t>
      </w:r>
      <w:r>
        <w:t xml:space="preserve"> 's nachts tijdens de aanlegfase. Dit zijn cijfers uit het MER zelf, niet uit eigen berekening van de gemeente.</w:t>
      </w:r>
    </w:p>
    <w:p xmlns:wp14="http://schemas.microsoft.com/office/word/2010/wordml" w14:paraId="142F53FE" wp14:textId="77777777">
      <w:pPr>
        <w:pStyle w:val="Heading3"/>
      </w:pPr>
      <w:r>
        <w:t>10.2 Gemeente Lendelede: nachtrichtwaarden nu al overschreden</w:t>
      </w:r>
    </w:p>
    <w:p xmlns:wp14="http://schemas.microsoft.com/office/word/2010/wordml" w14:paraId="3973D01D" wp14:textId="77777777">
      <w:r>
        <w:t xml:space="preserve">De gemeente Lendelede stelt in haar ongunstig advies dat de nachtrichtwaarden bij meetpunten 5 en 6 </w:t>
      </w:r>
      <w:r>
        <w:rPr>
          <w:b/>
        </w:rPr>
        <w:t>nu al worden overschreden</w:t>
      </w:r>
      <w:r>
        <w:t>. Het project zal deze overschrijding verergeren.</w:t>
      </w:r>
    </w:p>
    <w:p xmlns:wp14="http://schemas.microsoft.com/office/word/2010/wordml" w14:paraId="56C4EE83" wp14:textId="77777777">
      <w:r>
        <w:t xml:space="preserve">Lendelede citeert: </w:t>
      </w:r>
      <w:r>
        <w:rPr>
          <w:i/>
        </w:rPr>
        <w:t>"De te verwachten hissing, humming en suizen zullen een sterk negatief effect hebben op de stilte-ervaring die er op vandaag is."</w:t>
      </w:r>
    </w:p>
    <w:p xmlns:wp14="http://schemas.microsoft.com/office/word/2010/wordml" w14:paraId="650AA882" wp14:textId="77777777">
      <w:pPr>
        <w:pStyle w:val="Heading3"/>
      </w:pPr>
      <w:r>
        <w:t>10.3 DGLV: 3 knipperlichten per mast bevestigd</w:t>
      </w:r>
    </w:p>
    <w:p xmlns:wp14="http://schemas.microsoft.com/office/word/2010/wordml" w14:paraId="144D7EB5" wp14:textId="77777777">
      <w:r>
        <w:t>Het advies van DGLV bevestigt de lichtbebakening als vast gegeven: 3 knipperlichten per mast op 3 niveaus, dag en nacht. Mast P26N (85m AGL) vereist een aparte procedure bij Skeyes vanwege de buitengewone hoogte.</w:t>
      </w:r>
    </w:p>
    <w:p xmlns:wp14="http://schemas.microsoft.com/office/word/2010/wordml" w14:paraId="3DEEC669" wp14:textId="77777777">
      <w:pPr>
        <w:spacing w:before="240" w:after="240"/>
        <w:pBdr>
          <w:bottom w:val="single" w:color="CCCCCC" w:sz="6" w:space="1"/>
        </w:pBdr>
      </w:pPr>
    </w:p>
    <w:p xmlns:wp14="http://schemas.microsoft.com/office/word/2010/wordml" w14:paraId="7A2877A2" wp14:textId="77777777">
      <w:pPr>
        <w:pStyle w:val="Heading2"/>
      </w:pPr>
      <w:r>
        <w:t>11. CONCLUSIE EN GEVRAAGD BESLUIT</w:t>
      </w:r>
    </w:p>
    <w:p xmlns:wp14="http://schemas.microsoft.com/office/word/2010/wordml" w14:paraId="4CCDC058" wp14:textId="77777777">
      <w:pPr>
        <w:pStyle w:val="Heading3"/>
      </w:pPr>
      <w:r>
        <w:t>11.1 Samenvatting</w:t>
      </w:r>
    </w:p>
    <w:p xmlns:wp14="http://schemas.microsoft.com/office/word/2010/wordml" w14:paraId="7E9754F7" wp14:textId="77777777">
      <w:r>
        <w:t>Het project-MER Ventilus v4 vertoont in de disciplines geluid en klimaat de volgende gebreken:</w:t>
      </w:r>
    </w:p>
    <w:p xmlns:wp14="http://schemas.microsoft.com/office/word/2010/wordml" w14:paraId="2858A12A" wp14:textId="77777777">
      <w:pPr>
        <w:pStyle w:val="ListNumber"/>
        <w:spacing w:after="60"/>
        <w:ind w:left="720"/>
      </w:pPr>
      <w:r>
        <w:rPr>
          <w:b/>
        </w:rPr>
        <w:t>Juridisch vacuüm:</w:t>
      </w:r>
      <w:r>
        <w:t xml:space="preserve"> Hoogspanningslijnen zijn geen ingedeelde inrichtingen -- er bestaat geen afdwingbare geluidsnorm, terwijl 24-28 woningen op minder dan 10-15 meter van geleiders de MKN nacht overschrijden.</w:t>
      </w:r>
    </w:p>
    <w:p xmlns:wp14="http://schemas.microsoft.com/office/word/2010/wordml" w14:paraId="6913C81C" wp14:textId="77777777">
      <w:pPr>
        <w:pStyle w:val="ListNumber"/>
        <w:spacing w:after="60"/>
        <w:ind w:left="720"/>
      </w:pPr>
      <w:r>
        <w:rPr>
          <w:b/>
        </w:rPr>
        <w:t>Veroudering geleiders:</w:t>
      </w:r>
      <w:r>
        <w:t xml:space="preserve"> Corona-geluid kan met tot 10 dB(A) toenemen (vertienvoudiging intensiteit), met een duur die een "leemte in de kennis" is. De effectbeoordeling is gebaseerd op metingen aan nieuwe geleiders. Bovendien produceert corona-ontlading ozon (O3) en stikstofoxiden (NOx) — emissies die in geen enkele discipline van het MER zijn beoordeeld.</w:t>
      </w:r>
    </w:p>
    <w:p xmlns:wp14="http://schemas.microsoft.com/office/word/2010/wordml" w14:paraId="06CE88DB" wp14:textId="77777777">
      <w:pPr>
        <w:pStyle w:val="ListNumber"/>
        <w:spacing w:after="60"/>
        <w:ind w:left="720"/>
      </w:pPr>
      <w:r>
        <w:rPr>
          <w:b/>
        </w:rPr>
        <w:t>Laagfrequent geluid niet beoordeeld:</w:t>
      </w:r>
      <w:r>
        <w:t xml:space="preserve"> De 100Hz humming wordt erkend als "meer hinderlijk" maar krijgt geen aparte LFN-analyse. De A-weging onderwaardeert 100Hz met circa 20 dB.</w:t>
      </w:r>
    </w:p>
    <w:p xmlns:wp14="http://schemas.microsoft.com/office/word/2010/wordml" w14:paraId="6035DD54" wp14:textId="77777777">
      <w:pPr>
        <w:pStyle w:val="ListNumber"/>
        <w:spacing w:after="60"/>
        <w:ind w:left="720"/>
      </w:pPr>
      <w:r>
        <w:rPr>
          <w:b/>
        </w:rPr>
        <w:t>Massale aanlegfase-hinder:</w:t>
      </w:r>
      <w:r>
        <w:t xml:space="preserve"> Tot 19.027 woningen met nachtelijke MKN-overschrijding; meetcampagnes van slechts 2 weken; geen Vlaams wettelijk kader; milderende maatregelen generiek en vrijblijvend.</w:t>
      </w:r>
    </w:p>
    <w:p xmlns:wp14="http://schemas.microsoft.com/office/word/2010/wordml" w14:paraId="5E8A6CB4" wp14:textId="77777777">
      <w:pPr>
        <w:pStyle w:val="ListNumber"/>
        <w:spacing w:after="60"/>
        <w:ind w:left="720"/>
      </w:pPr>
      <w:r>
        <w:rPr>
          <w:b/>
        </w:rPr>
        <w:t>Cumulatieve effecten:</w:t>
      </w:r>
      <w:r>
        <w:t xml:space="preserve"> Het MER concludeert zelf dat cumulatieve aanzienlijke geluidseffecten "niet uit te sluiten" zijn, maar kwantificeert dit niet. Station Neptunus is niet meegenomen.</w:t>
      </w:r>
    </w:p>
    <w:p xmlns:wp14="http://schemas.microsoft.com/office/word/2010/wordml" w14:paraId="4D5F8334" wp14:textId="77777777">
      <w:pPr>
        <w:pStyle w:val="ListNumber"/>
        <w:spacing w:after="60"/>
        <w:ind w:left="720"/>
      </w:pPr>
      <w:r>
        <w:rPr>
          <w:b/>
        </w:rPr>
        <w:t>SF6 niet gekwantificeerd:</w:t>
      </w:r>
      <w:r>
        <w:t xml:space="preserve"> Het broeikasgas met GWP 23.500 wordt geinstalleerd voor decennia terwijl de EU het uitfaseert via de F-gassenverordening (EU 2024/573). SF6-vrije alternatieven zijn commercieel beschikbaar maar niet onderzocht.</w:t>
      </w:r>
    </w:p>
    <w:p xmlns:wp14="http://schemas.microsoft.com/office/word/2010/wordml" w14:paraId="070E472B" wp14:textId="77777777">
      <w:pPr>
        <w:pStyle w:val="ListNumber"/>
        <w:spacing w:after="60"/>
        <w:ind w:left="720"/>
      </w:pPr>
      <w:r>
        <w:rPr>
          <w:b/>
        </w:rPr>
        <w:t>Geen levenscyclusanalyse:</w:t>
      </w:r>
      <w:r>
        <w:t xml:space="preserve"> De klimaatclaim (+2) is niet onderbouwd met een LCA. Veenoxidatie en ontbossing zijn niet gekwantificeerd.</w:t>
      </w:r>
    </w:p>
    <w:p xmlns:wp14="http://schemas.microsoft.com/office/word/2010/wordml" w14:paraId="545A36F8" wp14:textId="77777777">
      <w:pPr>
        <w:pStyle w:val="ListNumber"/>
        <w:spacing w:after="60"/>
        <w:ind w:left="720"/>
      </w:pPr>
      <w:r>
        <w:rPr>
          <w:b/>
        </w:rPr>
        <w:t>Blue Deal geschonden:</w:t>
      </w:r>
      <w:r>
        <w:t xml:space="preserve"> Het project voegt verharding toe (funderingen, werfzones, kabeltracés) terwijl het Vlaamse Blue Deal-programma ontharding nastreeft. De watertoets is alleen voor het huidige klimaat uitgevoerd, niet voor toekomstige klimaatscenario's. Dit is intern tegenstrijdig met het klimaatadaptatiebeleid.</w:t>
      </w:r>
    </w:p>
    <w:p xmlns:wp14="http://schemas.microsoft.com/office/word/2010/wordml" w14:paraId="627E8EE3" wp14:textId="77777777">
      <w:pPr>
        <w:pStyle w:val="ListNumber"/>
        <w:spacing w:after="60"/>
        <w:ind w:left="720"/>
      </w:pPr>
      <w:r>
        <w:rPr>
          <w:b/>
        </w:rPr>
        <w:t>Lichtbebakening:</w:t>
      </w:r>
      <w:r>
        <w:t xml:space="preserve"> 3 knipperlichten per mast op 3 niveaus, dag en nacht -- een permanent visueel en potentieel gezondheidsverstorend effect dat niet als zodanig is beoordeeld.</w:t>
      </w:r>
    </w:p>
    <w:p xmlns:wp14="http://schemas.microsoft.com/office/word/2010/wordml" w14:paraId="7E3DA1BD" wp14:textId="77777777">
      <w:pPr>
        <w:pStyle w:val="ListNumber"/>
        <w:spacing w:after="60"/>
        <w:ind w:left="720"/>
      </w:pPr>
      <w:r>
        <w:rPr>
          <w:b/>
        </w:rPr>
        <w:t>Systemisch risico 6 GW op enkel bovengronds tracé:</w:t>
      </w:r>
      <w:r>
        <w:t xml:space="preserve"> De concentratie van 6 GW vermogen op één bovengrondse corridor creëert een systemisch risico voor de bevoorradingszekerheid. De Spanje-blackout (april 2025) toont de kwetsbaarheid van geconcentreerde netinfrastructuur. Ondergrondse aanleg is minder kwetsbaar voor storm, ijzel en cascade-uitval. Het MER beoordeelt dit risico niet.</w:t>
      </w:r>
    </w:p>
    <w:p xmlns:wp14="http://schemas.microsoft.com/office/word/2010/wordml" w14:paraId="5FAD9D61" wp14:textId="77777777">
      <w:pPr>
        <w:pStyle w:val="Heading3"/>
      </w:pPr>
      <w:r>
        <w:t>11.2 Gevraagd besluit</w:t>
      </w:r>
    </w:p>
    <w:p xmlns:wp14="http://schemas.microsoft.com/office/word/2010/wordml" w14:paraId="1C374FCA" wp14:textId="77777777">
      <w:r>
        <w:rPr>
          <w:b/>
        </w:rPr>
        <w:t>Primair:</w:t>
      </w:r>
      <w:r>
        <w:t xml:space="preserve"> Ondergetekende verzoekt de vergunningverlenende overheid de omgevingsvergunningsaanvraag </w:t>
      </w:r>
      <w:r>
        <w:rPr>
          <w:b/>
        </w:rPr>
        <w:t>te weigeren</w:t>
      </w:r>
      <w:r>
        <w:t xml:space="preserve"> op grond van de hierboven uiteengezette gebreken, in het bijzonder het juridisch vacuüm voor geluidshinder, de massale MKN-overschrijdingen in de aanlegfase, de ontbrekende LFN-beoordeling, en de niet-kwantificering van SF6-emissies.</w:t>
      </w:r>
    </w:p>
    <w:p xmlns:wp14="http://schemas.microsoft.com/office/word/2010/wordml" w14:paraId="7215B9DF" wp14:textId="77777777">
      <w:r>
        <w:rPr>
          <w:b/>
        </w:rPr>
        <w:t>Subsidiair:</w:t>
      </w:r>
      <w:r>
        <w:t xml:space="preserve"> Indien de vergunningverlenende overheid oordeelt dat een weigering niet aan de orde is, verzoekt ondergetekende dat:</w:t>
      </w:r>
    </w:p>
    <w:p xmlns:wp14="http://schemas.microsoft.com/office/word/2010/wordml" w14:paraId="54AC247B" wp14:textId="77777777">
      <w:r>
        <w:rPr>
          <w:b/>
        </w:rPr>
        <w:t>Geluid:</w:t>
      </w:r>
    </w:p>
    <w:p xmlns:wp14="http://schemas.microsoft.com/office/word/2010/wordml" w14:paraId="7B6607ED" wp14:textId="77777777">
      <w:pPr>
        <w:pStyle w:val="ListBullet"/>
        <w:spacing w:after="60"/>
        <w:ind w:left="720"/>
      </w:pPr>
      <w:r>
        <w:rPr>
          <w:b/>
        </w:rPr>
        <w:t>Bindende geluidsnormen</w:t>
      </w:r>
      <w:r>
        <w:t xml:space="preserve"> als vergunningsvoorwaarde worden opgelegd voor de exploitatiefase, gebaseerd op de MKN van VLAREM II (35 dB(A) nacht in woongebied), met monitoringsverplichting en sanctiemechanisme;</w:t>
      </w:r>
    </w:p>
    <w:p xmlns:wp14="http://schemas.microsoft.com/office/word/2010/wordml" w14:paraId="5EBD6DF3" wp14:textId="77777777">
      <w:pPr>
        <w:pStyle w:val="ListBullet"/>
        <w:spacing w:after="60"/>
        <w:ind w:left="720"/>
      </w:pPr>
      <w:r>
        <w:t xml:space="preserve">Een </w:t>
      </w:r>
      <w:r>
        <w:rPr>
          <w:b/>
        </w:rPr>
        <w:t>langetermijnmonitoring</w:t>
      </w:r>
      <w:r>
        <w:t xml:space="preserve"> van corona-geluid (minimaal 1 jaar, representatief voor seizoensvariatie en veroudering) wordt uitgevoerd voorafgaand aan de vergunningsbeslissing;</w:t>
      </w:r>
    </w:p>
    <w:p xmlns:wp14="http://schemas.microsoft.com/office/word/2010/wordml" w14:paraId="5A566BEA" wp14:textId="77777777">
      <w:pPr>
        <w:pStyle w:val="ListBullet"/>
        <w:spacing w:after="60"/>
        <w:ind w:left="720"/>
      </w:pPr>
      <w:r>
        <w:t xml:space="preserve">Een </w:t>
      </w:r>
      <w:r>
        <w:rPr>
          <w:b/>
        </w:rPr>
        <w:t>aparte LFN-beoordeling</w:t>
      </w:r>
      <w:r>
        <w:t xml:space="preserve"> wordt uitgevoerd conform de WHO-richtlijnen en Deense LFN-normen;</w:t>
      </w:r>
    </w:p>
    <w:p xmlns:wp14="http://schemas.microsoft.com/office/word/2010/wordml" w14:paraId="65496CCF" wp14:textId="77777777">
      <w:pPr>
        <w:pStyle w:val="ListBullet"/>
        <w:spacing w:after="60"/>
        <w:ind w:left="720"/>
      </w:pPr>
      <w:r>
        <w:rPr>
          <w:b/>
        </w:rPr>
        <w:t>Bindende maximale blootstellingsduren</w:t>
      </w:r>
      <w:r>
        <w:t xml:space="preserve"> en werkuren worden opgelegd voor de aanlegfase, met name voor woningen binnen 500 meter;</w:t>
      </w:r>
    </w:p>
    <w:p xmlns:wp14="http://schemas.microsoft.com/office/word/2010/wordml" w14:paraId="354ECB52" wp14:textId="77777777">
      <w:pPr>
        <w:pStyle w:val="ListBullet"/>
        <w:spacing w:after="60"/>
        <w:ind w:left="720"/>
      </w:pPr>
      <w:r>
        <w:t xml:space="preserve">Ondergrondse aanleg als </w:t>
      </w:r>
      <w:r>
        <w:rPr>
          <w:b/>
        </w:rPr>
        <w:t>geluidsvermijdend alternatief</w:t>
      </w:r>
      <w:r>
        <w:t xml:space="preserve"> wordt beoordeeld voor de segmenten met woningen op minder dan 50 meter van geleiders;</w:t>
      </w:r>
    </w:p>
    <w:p xmlns:wp14="http://schemas.microsoft.com/office/word/2010/wordml" w14:paraId="0E326CC0" wp14:textId="77777777">
      <w:r>
        <w:rPr>
          <w:b/>
        </w:rPr>
        <w:t>Klimaat:</w:t>
      </w:r>
    </w:p>
    <w:p xmlns:wp14="http://schemas.microsoft.com/office/word/2010/wordml" w14:paraId="289D30FF" wp14:textId="77777777">
      <w:pPr>
        <w:pStyle w:val="ListBullet"/>
        <w:spacing w:after="60"/>
        <w:ind w:left="720"/>
      </w:pPr>
      <w:r>
        <w:t xml:space="preserve">De </w:t>
      </w:r>
      <w:r>
        <w:rPr>
          <w:b/>
        </w:rPr>
        <w:t>SF6-hoeveelheden</w:t>
      </w:r>
      <w:r>
        <w:t xml:space="preserve"> worden gekwantificeerd in kg en CO2-equivalenten, en </w:t>
      </w:r>
      <w:r>
        <w:rPr>
          <w:b/>
        </w:rPr>
        <w:t>SF6-vrije alternatieven</w:t>
      </w:r>
      <w:r>
        <w:t xml:space="preserve"> (CF3I, Clean Air, g3-gas) worden onderzocht conform de EU F-gassenverordening 2024/573;</w:t>
      </w:r>
    </w:p>
    <w:p xmlns:wp14="http://schemas.microsoft.com/office/word/2010/wordml" w14:paraId="0DB96264" wp14:textId="77777777">
      <w:pPr>
        <w:pStyle w:val="ListBullet"/>
        <w:spacing w:after="60"/>
        <w:ind w:left="720"/>
      </w:pPr>
      <w:r>
        <w:t xml:space="preserve">Een </w:t>
      </w:r>
      <w:r>
        <w:rPr>
          <w:b/>
        </w:rPr>
        <w:t>volledige levenscyclusanalyse</w:t>
      </w:r>
      <w:r>
        <w:t xml:space="preserve"> (LCA) wordt uitgevoerd, inclusief productie, transport, installatie, lekkage, ontmanteling en vergelijking met het ondergronds alternatief;</w:t>
      </w:r>
    </w:p>
    <w:p xmlns:wp14="http://schemas.microsoft.com/office/word/2010/wordml" w14:paraId="3BD3CD1E" wp14:textId="77777777">
      <w:pPr>
        <w:pStyle w:val="ListBullet"/>
        <w:spacing w:after="60"/>
        <w:ind w:left="720"/>
      </w:pPr>
      <w:r>
        <w:t xml:space="preserve">De </w:t>
      </w:r>
      <w:r>
        <w:rPr>
          <w:b/>
        </w:rPr>
        <w:t>CO2-uitstoot door veenoxidatie</w:t>
      </w:r>
      <w:r>
        <w:t xml:space="preserve"> wordt gekwantificeerd op basis van projectspecifieke hydrologische modellering;</w:t>
      </w:r>
    </w:p>
    <w:p xmlns:wp14="http://schemas.microsoft.com/office/word/2010/wordml" w14:paraId="4EFE9396" wp14:textId="77777777">
      <w:pPr>
        <w:pStyle w:val="ListBullet"/>
        <w:spacing w:after="60"/>
        <w:ind w:left="720"/>
      </w:pPr>
      <w:r>
        <w:t xml:space="preserve">De </w:t>
      </w:r>
      <w:r>
        <w:rPr>
          <w:b/>
        </w:rPr>
        <w:t>CO2-impact van permanent vegetatieverlies</w:t>
      </w:r>
      <w:r>
        <w:t xml:space="preserve"> in de veiligheidszone wordt gekwantificeerd;</w:t>
      </w:r>
    </w:p>
    <w:p xmlns:wp14="http://schemas.microsoft.com/office/word/2010/wordml" w14:paraId="7699AA7A" wp14:textId="77777777">
      <w:pPr>
        <w:pStyle w:val="ListBullet"/>
        <w:spacing w:after="60"/>
        <w:ind w:left="720"/>
      </w:pPr>
      <w:r>
        <w:t xml:space="preserve">De </w:t>
      </w:r>
      <w:r>
        <w:rPr>
          <w:b/>
        </w:rPr>
        <w:t>tegenstrijdigheid met het Blue Deal-programma</w:t>
      </w:r>
      <w:r>
        <w:t xml:space="preserve"> wordt geadresseerd, met een watertoets die ook toekomstige klimaatscenario's omvat en een kwantificering van de nettoverharding door het project;</w:t>
      </w:r>
    </w:p>
    <w:p xmlns:wp14="http://schemas.microsoft.com/office/word/2010/wordml" w14:paraId="4B67F6B8" wp14:textId="77777777">
      <w:r>
        <w:rPr>
          <w:b/>
        </w:rPr>
        <w:t>Veiligheid/Bevoorradingszekerheid:</w:t>
      </w:r>
    </w:p>
    <w:p xmlns:wp14="http://schemas.microsoft.com/office/word/2010/wordml" w14:paraId="718B22D0" wp14:textId="77777777">
      <w:pPr>
        <w:pStyle w:val="ListBullet"/>
        <w:spacing w:after="60"/>
        <w:ind w:left="720"/>
      </w:pPr>
      <w:r>
        <w:t xml:space="preserve">Het </w:t>
      </w:r>
      <w:r>
        <w:rPr>
          <w:b/>
        </w:rPr>
        <w:t>systemisch risico van de concentratie van 6 GW</w:t>
      </w:r>
      <w:r>
        <w:t xml:space="preserve"> op een enkel bovengronds tracé wordt beoordeeld, met inbegrip van scenario-analyses voor extreme weersomstandigheden, cascade-uitval en de lessen uit de Spanje-blackout van april 2025;</w:t>
      </w:r>
    </w:p>
    <w:p xmlns:wp14="http://schemas.microsoft.com/office/word/2010/wordml" w14:paraId="7D6CB3BA" wp14:textId="77777777">
      <w:pPr>
        <w:pStyle w:val="ListBullet"/>
        <w:spacing w:after="60"/>
        <w:ind w:left="720"/>
      </w:pPr>
      <w:r>
        <w:t xml:space="preserve">Een </w:t>
      </w:r>
      <w:r>
        <w:rPr>
          <w:b/>
        </w:rPr>
        <w:t>vergelijkende risicoanalyse</w:t>
      </w:r>
      <w:r>
        <w:t xml:space="preserve"> tussen bovengrondse en ondergrondse aanleg op het vlak van netkwetsbaarheid en bevoorradingszekerheid wordt uitgevoerd.</w:t>
      </w:r>
    </w:p>
    <w:p xmlns:wp14="http://schemas.microsoft.com/office/word/2010/wordml" w:rsidP="50C8EF53" w14:paraId="45FB0818" wp14:textId="60C0B77F">
      <w:pPr>
        <w:pStyle w:val="Normal"/>
        <w:pBdr>
          <w:bottom w:val="single" w:color="CCCCCC" w:sz="6" w:space="1"/>
        </w:pBdr>
        <w:spacing w:before="240" w:after="240"/>
        <w:pBdr>
          <w:bottom w:val="single" w:color="CCCCCC" w:sz="6" w:space="1"/>
        </w:pBdr>
      </w:pPr>
    </w:p>
    <w:p xmlns:wp14="http://schemas.microsoft.com/office/word/2010/wordml" w14:paraId="18B564F7" wp14:textId="52A04B05">
      <w:r w:rsidRPr="50C8EF53" w:rsidR="50C8EF53">
        <w:rPr>
          <w:i w:val="1"/>
          <w:iCs w:val="1"/>
        </w:rPr>
        <w:t xml:space="preserve">Dit </w:t>
      </w:r>
      <w:r w:rsidRPr="50C8EF53" w:rsidR="50C8EF53">
        <w:rPr>
          <w:i w:val="1"/>
          <w:iCs w:val="1"/>
        </w:rPr>
        <w:t>thematisch</w:t>
      </w:r>
      <w:r w:rsidRPr="50C8EF53" w:rsidR="50C8EF53">
        <w:rPr>
          <w:i w:val="1"/>
          <w:iCs w:val="1"/>
        </w:rPr>
        <w:t xml:space="preserve"> </w:t>
      </w:r>
      <w:r w:rsidRPr="50C8EF53" w:rsidR="50C8EF53">
        <w:rPr>
          <w:i w:val="1"/>
          <w:iCs w:val="1"/>
        </w:rPr>
        <w:t>bezwaarschrift</w:t>
      </w:r>
      <w:r w:rsidRPr="50C8EF53" w:rsidR="50C8EF53">
        <w:rPr>
          <w:i w:val="1"/>
          <w:iCs w:val="1"/>
        </w:rPr>
        <w:t xml:space="preserve"> is </w:t>
      </w:r>
      <w:r w:rsidRPr="50C8EF53" w:rsidR="50C8EF53">
        <w:rPr>
          <w:i w:val="1"/>
          <w:iCs w:val="1"/>
        </w:rPr>
        <w:t>voorbereid</w:t>
      </w:r>
      <w:r w:rsidRPr="50C8EF53" w:rsidR="50C8EF53">
        <w:rPr>
          <w:i w:val="1"/>
          <w:iCs w:val="1"/>
        </w:rPr>
        <w:t xml:space="preserve"> op basis van </w:t>
      </w:r>
      <w:r w:rsidRPr="50C8EF53" w:rsidR="50C8EF53">
        <w:rPr>
          <w:i w:val="1"/>
          <w:iCs w:val="1"/>
        </w:rPr>
        <w:t>analyse</w:t>
      </w:r>
      <w:r w:rsidRPr="50C8EF53" w:rsidR="50C8EF53">
        <w:rPr>
          <w:i w:val="1"/>
          <w:iCs w:val="1"/>
        </w:rPr>
        <w:t xml:space="preserve"> van </w:t>
      </w:r>
      <w:r w:rsidRPr="50C8EF53" w:rsidR="50C8EF53">
        <w:rPr>
          <w:i w:val="1"/>
          <w:iCs w:val="1"/>
        </w:rPr>
        <w:t>Hoofdstuk</w:t>
      </w:r>
      <w:r w:rsidRPr="50C8EF53" w:rsidR="50C8EF53">
        <w:rPr>
          <w:i w:val="1"/>
          <w:iCs w:val="1"/>
        </w:rPr>
        <w:t xml:space="preserve"> 12 </w:t>
      </w:r>
      <w:r w:rsidRPr="50C8EF53" w:rsidR="50C8EF53">
        <w:rPr>
          <w:i w:val="1"/>
          <w:iCs w:val="1"/>
        </w:rPr>
        <w:t>Geluid</w:t>
      </w:r>
      <w:r w:rsidRPr="50C8EF53" w:rsidR="50C8EF53">
        <w:rPr>
          <w:i w:val="1"/>
          <w:iCs w:val="1"/>
        </w:rPr>
        <w:t xml:space="preserve"> v4 (143 </w:t>
      </w:r>
      <w:r w:rsidRPr="50C8EF53" w:rsidR="50C8EF53">
        <w:rPr>
          <w:i w:val="1"/>
          <w:iCs w:val="1"/>
        </w:rPr>
        <w:t>pagina's</w:t>
      </w:r>
      <w:r w:rsidRPr="50C8EF53" w:rsidR="50C8EF53">
        <w:rPr>
          <w:i w:val="1"/>
          <w:iCs w:val="1"/>
        </w:rPr>
        <w:t xml:space="preserve">) </w:t>
      </w:r>
      <w:r w:rsidRPr="50C8EF53" w:rsidR="50C8EF53">
        <w:rPr>
          <w:i w:val="1"/>
          <w:iCs w:val="1"/>
        </w:rPr>
        <w:t>en</w:t>
      </w:r>
      <w:r w:rsidRPr="50C8EF53" w:rsidR="50C8EF53">
        <w:rPr>
          <w:i w:val="1"/>
          <w:iCs w:val="1"/>
        </w:rPr>
        <w:t xml:space="preserve"> </w:t>
      </w:r>
      <w:r w:rsidRPr="50C8EF53" w:rsidR="50C8EF53">
        <w:rPr>
          <w:i w:val="1"/>
          <w:iCs w:val="1"/>
        </w:rPr>
        <w:t>Hoofdstuk</w:t>
      </w:r>
      <w:r w:rsidRPr="50C8EF53" w:rsidR="50C8EF53">
        <w:rPr>
          <w:i w:val="1"/>
          <w:iCs w:val="1"/>
        </w:rPr>
        <w:t xml:space="preserve"> 16-17 </w:t>
      </w:r>
      <w:r w:rsidRPr="50C8EF53" w:rsidR="50C8EF53">
        <w:rPr>
          <w:i w:val="1"/>
          <w:iCs w:val="1"/>
        </w:rPr>
        <w:t>Klimaat</w:t>
      </w:r>
      <w:r w:rsidRPr="50C8EF53" w:rsidR="50C8EF53">
        <w:rPr>
          <w:i w:val="1"/>
          <w:iCs w:val="1"/>
        </w:rPr>
        <w:t xml:space="preserve"> </w:t>
      </w:r>
      <w:r w:rsidRPr="50C8EF53" w:rsidR="50C8EF53">
        <w:rPr>
          <w:i w:val="1"/>
          <w:iCs w:val="1"/>
        </w:rPr>
        <w:t>en</w:t>
      </w:r>
      <w:r w:rsidRPr="50C8EF53" w:rsidR="50C8EF53">
        <w:rPr>
          <w:i w:val="1"/>
          <w:iCs w:val="1"/>
        </w:rPr>
        <w:t xml:space="preserve"> </w:t>
      </w:r>
      <w:r w:rsidRPr="50C8EF53" w:rsidR="50C8EF53">
        <w:rPr>
          <w:i w:val="1"/>
          <w:iCs w:val="1"/>
        </w:rPr>
        <w:t>Veiligheid</w:t>
      </w:r>
      <w:r w:rsidRPr="50C8EF53" w:rsidR="50C8EF53">
        <w:rPr>
          <w:i w:val="1"/>
          <w:iCs w:val="1"/>
        </w:rPr>
        <w:t xml:space="preserve"> v4 (21 </w:t>
      </w:r>
      <w:r w:rsidRPr="50C8EF53" w:rsidR="50C8EF53">
        <w:rPr>
          <w:i w:val="1"/>
          <w:iCs w:val="1"/>
        </w:rPr>
        <w:t>pagina's</w:t>
      </w:r>
      <w:r w:rsidRPr="50C8EF53" w:rsidR="50C8EF53">
        <w:rPr>
          <w:i w:val="1"/>
          <w:iCs w:val="1"/>
        </w:rPr>
        <w:t xml:space="preserve">) van het project-MER, het </w:t>
      </w:r>
      <w:r w:rsidRPr="50C8EF53" w:rsidR="50C8EF53">
        <w:rPr>
          <w:i w:val="1"/>
          <w:iCs w:val="1"/>
        </w:rPr>
        <w:t>advies</w:t>
      </w:r>
      <w:r w:rsidRPr="50C8EF53" w:rsidR="50C8EF53">
        <w:rPr>
          <w:i w:val="1"/>
          <w:iCs w:val="1"/>
        </w:rPr>
        <w:t xml:space="preserve"> van DGLV/</w:t>
      </w:r>
      <w:r w:rsidRPr="50C8EF53" w:rsidR="50C8EF53">
        <w:rPr>
          <w:i w:val="1"/>
          <w:iCs w:val="1"/>
        </w:rPr>
        <w:t>Luchtvaart</w:t>
      </w:r>
      <w:r w:rsidRPr="50C8EF53" w:rsidR="50C8EF53">
        <w:rPr>
          <w:i w:val="1"/>
          <w:iCs w:val="1"/>
        </w:rPr>
        <w:t xml:space="preserve">, de </w:t>
      </w:r>
      <w:r w:rsidRPr="50C8EF53" w:rsidR="50C8EF53">
        <w:rPr>
          <w:i w:val="1"/>
          <w:iCs w:val="1"/>
        </w:rPr>
        <w:t>ongunstige</w:t>
      </w:r>
      <w:r w:rsidRPr="50C8EF53" w:rsidR="50C8EF53">
        <w:rPr>
          <w:i w:val="1"/>
          <w:iCs w:val="1"/>
        </w:rPr>
        <w:t xml:space="preserve"> </w:t>
      </w:r>
      <w:r w:rsidRPr="50C8EF53" w:rsidR="50C8EF53">
        <w:rPr>
          <w:i w:val="1"/>
          <w:iCs w:val="1"/>
        </w:rPr>
        <w:t>adviezen</w:t>
      </w:r>
      <w:r w:rsidRPr="50C8EF53" w:rsidR="50C8EF53">
        <w:rPr>
          <w:i w:val="1"/>
          <w:iCs w:val="1"/>
        </w:rPr>
        <w:t xml:space="preserve"> van de </w:t>
      </w:r>
      <w:r w:rsidRPr="50C8EF53" w:rsidR="50C8EF53">
        <w:rPr>
          <w:i w:val="1"/>
          <w:iCs w:val="1"/>
        </w:rPr>
        <w:t>gemeenten</w:t>
      </w:r>
      <w:r w:rsidRPr="50C8EF53" w:rsidR="50C8EF53">
        <w:rPr>
          <w:i w:val="1"/>
          <w:iCs w:val="1"/>
        </w:rPr>
        <w:t xml:space="preserve"> </w:t>
      </w:r>
      <w:r w:rsidRPr="50C8EF53" w:rsidR="50C8EF53">
        <w:rPr>
          <w:i w:val="1"/>
          <w:iCs w:val="1"/>
        </w:rPr>
        <w:t>Zedelgem</w:t>
      </w:r>
      <w:r w:rsidRPr="50C8EF53" w:rsidR="50C8EF53">
        <w:rPr>
          <w:i w:val="1"/>
          <w:iCs w:val="1"/>
        </w:rPr>
        <w:t xml:space="preserve">, </w:t>
      </w:r>
      <w:r w:rsidRPr="50C8EF53" w:rsidR="50C8EF53">
        <w:rPr>
          <w:i w:val="1"/>
          <w:iCs w:val="1"/>
        </w:rPr>
        <w:t>Lendelede</w:t>
      </w:r>
      <w:r w:rsidRPr="50C8EF53" w:rsidR="50C8EF53">
        <w:rPr>
          <w:i w:val="1"/>
          <w:iCs w:val="1"/>
        </w:rPr>
        <w:t xml:space="preserve">, </w:t>
      </w:r>
      <w:r w:rsidRPr="50C8EF53" w:rsidR="50C8EF53">
        <w:rPr>
          <w:i w:val="1"/>
          <w:iCs w:val="1"/>
        </w:rPr>
        <w:t>Ardooie</w:t>
      </w:r>
      <w:r w:rsidRPr="50C8EF53" w:rsidR="50C8EF53">
        <w:rPr>
          <w:i w:val="1"/>
          <w:iCs w:val="1"/>
        </w:rPr>
        <w:t xml:space="preserve"> </w:t>
      </w:r>
      <w:r w:rsidRPr="50C8EF53" w:rsidR="50C8EF53">
        <w:rPr>
          <w:i w:val="1"/>
          <w:iCs w:val="1"/>
        </w:rPr>
        <w:t>en</w:t>
      </w:r>
      <w:r w:rsidRPr="50C8EF53" w:rsidR="50C8EF53">
        <w:rPr>
          <w:i w:val="1"/>
          <w:iCs w:val="1"/>
        </w:rPr>
        <w:t xml:space="preserve"> </w:t>
      </w:r>
      <w:r w:rsidRPr="50C8EF53" w:rsidR="50C8EF53">
        <w:rPr>
          <w:i w:val="1"/>
          <w:iCs w:val="1"/>
        </w:rPr>
        <w:t>Harelbeke.</w:t>
      </w:r>
      <w:r w:rsidRPr="50C8EF53" w:rsidR="50C8EF53">
        <w:rPr>
          <w:i w:val="1"/>
          <w:iCs w:val="1"/>
        </w:rPr>
        <w:t xml:space="preserve"> Het di</w:t>
      </w:r>
      <w:r w:rsidRPr="50C8EF53" w:rsidR="50C8EF53">
        <w:rPr>
          <w:i w:val="1"/>
          <w:iCs w:val="1"/>
        </w:rPr>
        <w:t>ent g</w:t>
      </w:r>
      <w:r w:rsidRPr="50C8EF53" w:rsidR="50C8EF53">
        <w:rPr>
          <w:i w:val="1"/>
          <w:iCs w:val="1"/>
        </w:rPr>
        <w:t>e</w:t>
      </w:r>
      <w:r w:rsidRPr="50C8EF53" w:rsidR="50C8EF53">
        <w:rPr>
          <w:i w:val="1"/>
          <w:iCs w:val="1"/>
        </w:rPr>
        <w:t>lezen t</w:t>
      </w:r>
      <w:r w:rsidRPr="50C8EF53" w:rsidR="50C8EF53">
        <w:rPr>
          <w:i w:val="1"/>
          <w:iCs w:val="1"/>
        </w:rPr>
        <w:t>e</w:t>
      </w:r>
      <w:r w:rsidRPr="50C8EF53" w:rsidR="50C8EF53">
        <w:rPr>
          <w:i w:val="1"/>
          <w:iCs w:val="1"/>
        </w:rPr>
        <w:t xml:space="preserve"> w</w:t>
      </w:r>
      <w:r w:rsidRPr="50C8EF53" w:rsidR="50C8EF53">
        <w:rPr>
          <w:i w:val="1"/>
          <w:iCs w:val="1"/>
        </w:rPr>
        <w:t>o</w:t>
      </w:r>
      <w:r w:rsidRPr="50C8EF53" w:rsidR="50C8EF53">
        <w:rPr>
          <w:i w:val="1"/>
          <w:iCs w:val="1"/>
        </w:rPr>
        <w:t>rden i</w:t>
      </w:r>
      <w:r w:rsidRPr="50C8EF53" w:rsidR="50C8EF53">
        <w:rPr>
          <w:i w:val="1"/>
          <w:iCs w:val="1"/>
        </w:rPr>
        <w:t>n sa</w:t>
      </w:r>
      <w:r w:rsidRPr="50C8EF53" w:rsidR="50C8EF53">
        <w:rPr>
          <w:i w:val="1"/>
          <w:iCs w:val="1"/>
        </w:rPr>
        <w:t>menhang m</w:t>
      </w:r>
      <w:r w:rsidRPr="50C8EF53" w:rsidR="50C8EF53">
        <w:rPr>
          <w:i w:val="1"/>
          <w:iCs w:val="1"/>
        </w:rPr>
        <w:t>et het ge</w:t>
      </w:r>
      <w:r w:rsidRPr="50C8EF53" w:rsidR="50C8EF53">
        <w:rPr>
          <w:i w:val="1"/>
          <w:iCs w:val="1"/>
        </w:rPr>
        <w:t>neriek b</w:t>
      </w:r>
      <w:r w:rsidRPr="50C8EF53" w:rsidR="50C8EF53">
        <w:rPr>
          <w:i w:val="1"/>
          <w:iCs w:val="1"/>
        </w:rPr>
        <w:t>e</w:t>
      </w:r>
      <w:r w:rsidRPr="50C8EF53" w:rsidR="50C8EF53">
        <w:rPr>
          <w:i w:val="1"/>
          <w:iCs w:val="1"/>
        </w:rPr>
        <w:t>zwaarschrift t</w:t>
      </w:r>
      <w:r w:rsidRPr="50C8EF53" w:rsidR="50C8EF53">
        <w:rPr>
          <w:i w:val="1"/>
          <w:iCs w:val="1"/>
        </w:rPr>
        <w:t>e</w:t>
      </w:r>
      <w:r w:rsidRPr="50C8EF53" w:rsidR="50C8EF53">
        <w:rPr>
          <w:i w:val="1"/>
          <w:iCs w:val="1"/>
        </w:rPr>
        <w:t>gen O</w:t>
      </w:r>
      <w:r w:rsidRPr="50C8EF53" w:rsidR="50C8EF53">
        <w:rPr>
          <w:i w:val="1"/>
          <w:iCs w:val="1"/>
        </w:rPr>
        <w:t>MV 2025025781.</w:t>
      </w:r>
    </w:p>
    <w:p xmlns:wp14="http://schemas.microsoft.com/office/word/2010/wordml" w14:paraId="049F31CB" wp14:textId="77777777">
      <w:pPr>
        <w:spacing w:before="240" w:after="240"/>
        <w:pBdr>
          <w:bottom w:val="single" w:color="CCCCCC" w:sz="6" w:space="1"/>
        </w:pBdr>
      </w:pPr>
    </w:p>
    <w:p xmlns:wp14="http://schemas.microsoft.com/office/word/2010/wordml" w14:paraId="073955CF" wp14:textId="77777777">
      <w:pPr>
        <w:pStyle w:val="Heading2"/>
      </w:pPr>
      <w:r>
        <w:t>BRONNENLIJST</w:t>
      </w:r>
    </w:p>
    <w:p xmlns:wp14="http://schemas.microsoft.com/office/word/2010/wordml" w14:paraId="4C7DC976" wp14:textId="77777777">
      <w:pPr>
        <w:pStyle w:val="Heading3"/>
      </w:pPr>
      <w:r>
        <w:t>MER-hoofdstukken</w:t>
      </w:r>
    </w:p>
    <w:tbl>
      <w:tblPr>
        <w:tblStyle w:val="TableGrid"/>
        <w:tblW w:w="0" w:type="auto"/>
        <w:jc w:val="left"/>
        <w:tblLook w:val="04A0" w:firstRow="1" w:lastRow="0" w:firstColumn="1" w:lastColumn="0" w:noHBand="0" w:noVBand="1"/>
      </w:tblPr>
      <w:tblGrid>
        <w:gridCol w:w="3135"/>
        <w:gridCol w:w="3135"/>
        <w:gridCol w:w="3135"/>
      </w:tblGrid>
      <w:tr xmlns:wp14="http://schemas.microsoft.com/office/word/2010/wordml" w14:paraId="2666CE16" wp14:textId="77777777">
        <w:tc>
          <w:tcPr>
            <w:tcW w:w="3135" w:type="dxa"/>
            <w:shd w:fill="1F3864" w:themeFill="accent1" w:themeFillShade="80"/>
          </w:tcPr>
          <w:p w14:paraId="3D11D8DF" wp14:textId="77777777">
            <w:pPr>
              <w:spacing w:before="40" w:after="40"/>
            </w:pPr>
            <w:r>
              <w:rPr>
                <w:b/>
                <w:color w:val="FFFFFF"/>
                <w:sz w:val="19"/>
              </w:rPr>
            </w:r>
            <w:r>
              <w:rPr>
                <w:b/>
                <w:color w:val="FFFFFF"/>
                <w:sz w:val="19"/>
              </w:rPr>
              <w:t>Verkorte referentie in tekst</w:t>
            </w:r>
          </w:p>
        </w:tc>
        <w:tc>
          <w:tcPr>
            <w:tcW w:w="3135" w:type="dxa"/>
            <w:shd w:fill="1F3864" w:themeFill="accent1" w:themeFillShade="80"/>
          </w:tcPr>
          <w:p w14:paraId="294E755D" wp14:textId="77777777">
            <w:pPr>
              <w:spacing w:before="40" w:after="40"/>
            </w:pPr>
            <w:r>
              <w:rPr>
                <w:b/>
                <w:color w:val="FFFFFF"/>
                <w:sz w:val="19"/>
              </w:rPr>
            </w:r>
            <w:r>
              <w:rPr>
                <w:b/>
                <w:color w:val="FFFFFF"/>
                <w:sz w:val="19"/>
              </w:rPr>
              <w:t>PDF-bestandsnaam</w:t>
            </w:r>
          </w:p>
        </w:tc>
        <w:tc>
          <w:tcPr>
            <w:tcW w:w="3135" w:type="dxa"/>
            <w:shd w:fill="1F3864" w:themeFill="accent1" w:themeFillShade="80"/>
          </w:tcPr>
          <w:p w14:paraId="34EA3010" wp14:textId="77777777">
            <w:pPr>
              <w:spacing w:before="40" w:after="40"/>
            </w:pPr>
            <w:r>
              <w:rPr>
                <w:b/>
                <w:color w:val="FFFFFF"/>
                <w:sz w:val="19"/>
              </w:rPr>
            </w:r>
            <w:r>
              <w:rPr>
                <w:b/>
                <w:color w:val="FFFFFF"/>
                <w:sz w:val="19"/>
              </w:rPr>
              <w:t>Relatief pad</w:t>
            </w:r>
          </w:p>
        </w:tc>
      </w:tr>
      <w:tr xmlns:wp14="http://schemas.microsoft.com/office/word/2010/wordml" w14:paraId="3E6E6EC6" wp14:textId="77777777">
        <w:tc>
          <w:tcPr>
            <w:tcW w:w="3135" w:type="dxa"/>
            <w:shd w:fill="F2F6FC"/>
          </w:tcPr>
          <w:p w14:paraId="51A8C6D6" wp14:textId="77777777">
            <w:pPr>
              <w:spacing w:before="40" w:after="40"/>
            </w:pPr>
            <w:r>
              <w:rPr>
                <w:sz w:val="19"/>
              </w:rPr>
            </w:r>
            <w:r>
              <w:rPr>
                <w:sz w:val="19"/>
              </w:rPr>
              <w:t>Hfst 12 Geluid</w:t>
            </w:r>
          </w:p>
        </w:tc>
        <w:tc>
          <w:tcPr>
            <w:tcW w:w="3135" w:type="dxa"/>
            <w:shd w:fill="F2F6FC"/>
          </w:tcPr>
          <w:p w14:paraId="116BCC19" wp14:textId="77777777">
            <w:pPr>
              <w:spacing w:before="40" w:after="40"/>
            </w:pPr>
            <w:r>
              <w:rPr>
                <w:sz w:val="19"/>
              </w:rPr>
            </w:r>
            <w:r>
              <w:rPr>
                <w:rFonts w:ascii="Consolas" w:hAnsi="Consolas"/>
                <w:sz w:val="19"/>
                <w:shd w:fill="F0F0F0"/>
              </w:rPr>
              <w:t>Ventilus_ProjectMER_Hfst12_Geluid v4.pdf</w:t>
            </w:r>
          </w:p>
        </w:tc>
        <w:tc>
          <w:tcPr>
            <w:tcW w:w="3135" w:type="dxa"/>
            <w:shd w:fill="F2F6FC"/>
          </w:tcPr>
          <w:p w14:paraId="1CC77D93" wp14:textId="77777777">
            <w:pPr>
              <w:spacing w:before="40" w:after="40"/>
            </w:pPr>
            <w:r>
              <w:rPr>
                <w:sz w:val="19"/>
              </w:rPr>
            </w:r>
            <w:r>
              <w:rPr>
                <w:rFonts w:ascii="Consolas" w:hAnsi="Consolas"/>
                <w:sz w:val="19"/>
                <w:shd w:fill="F0F0F0"/>
              </w:rPr>
              <w:t>2025025781 PIV4\MER\</w:t>
            </w:r>
          </w:p>
        </w:tc>
      </w:tr>
      <w:tr xmlns:wp14="http://schemas.microsoft.com/office/word/2010/wordml" w14:paraId="38236345" wp14:textId="77777777">
        <w:tc>
          <w:tcPr>
            <w:tcW w:w="3135" w:type="dxa"/>
          </w:tcPr>
          <w:p w14:paraId="04E832B0" wp14:textId="77777777">
            <w:pPr>
              <w:spacing w:before="40" w:after="40"/>
            </w:pPr>
            <w:r>
              <w:rPr>
                <w:sz w:val="19"/>
              </w:rPr>
            </w:r>
            <w:r>
              <w:rPr>
                <w:sz w:val="19"/>
              </w:rPr>
              <w:t>Hfst 16-17 Klimaat/Veiligheid</w:t>
            </w:r>
          </w:p>
        </w:tc>
        <w:tc>
          <w:tcPr>
            <w:tcW w:w="3135" w:type="dxa"/>
          </w:tcPr>
          <w:p w14:paraId="44DC7ADB" wp14:textId="77777777">
            <w:pPr>
              <w:spacing w:before="40" w:after="40"/>
            </w:pPr>
            <w:r>
              <w:rPr>
                <w:sz w:val="19"/>
              </w:rPr>
            </w:r>
            <w:r>
              <w:rPr>
                <w:rFonts w:ascii="Consolas" w:hAnsi="Consolas"/>
                <w:sz w:val="19"/>
                <w:shd w:fill="F0F0F0"/>
              </w:rPr>
              <w:t>Ventilus_ProjectMER_Hfst16en17_KlimaatenVeiligheid v4.pdf</w:t>
            </w:r>
          </w:p>
        </w:tc>
        <w:tc>
          <w:tcPr>
            <w:tcW w:w="3135" w:type="dxa"/>
          </w:tcPr>
          <w:p w14:paraId="292C1B5C" wp14:textId="77777777">
            <w:pPr>
              <w:spacing w:before="40" w:after="40"/>
            </w:pPr>
            <w:r>
              <w:rPr>
                <w:sz w:val="19"/>
              </w:rPr>
            </w:r>
            <w:r>
              <w:rPr>
                <w:rFonts w:ascii="Consolas" w:hAnsi="Consolas"/>
                <w:sz w:val="19"/>
                <w:shd w:fill="F0F0F0"/>
              </w:rPr>
              <w:t>2025025781 PIV4\MER\</w:t>
            </w:r>
          </w:p>
        </w:tc>
      </w:tr>
    </w:tbl>
    <w:p xmlns:wp14="http://schemas.microsoft.com/office/word/2010/wordml" w14:paraId="53128261" wp14:textId="77777777"/>
    <w:p xmlns:wp14="http://schemas.microsoft.com/office/word/2010/wordml" w14:paraId="0EBA0216" wp14:textId="77777777">
      <w:pPr>
        <w:pStyle w:val="Heading3"/>
      </w:pPr>
      <w:r>
        <w:t>Adviezen</w:t>
      </w:r>
    </w:p>
    <w:tbl>
      <w:tblPr>
        <w:tblStyle w:val="TableGrid"/>
        <w:tblW w:w="0" w:type="auto"/>
        <w:jc w:val="left"/>
        <w:tblLook w:val="04A0" w:firstRow="1" w:lastRow="0" w:firstColumn="1" w:lastColumn="0" w:noHBand="0" w:noVBand="1"/>
      </w:tblPr>
      <w:tblGrid>
        <w:gridCol w:w="3135"/>
        <w:gridCol w:w="3135"/>
        <w:gridCol w:w="3135"/>
      </w:tblGrid>
      <w:tr xmlns:wp14="http://schemas.microsoft.com/office/word/2010/wordml" w14:paraId="33BE8A14" wp14:textId="77777777">
        <w:tc>
          <w:tcPr>
            <w:tcW w:w="3135" w:type="dxa"/>
            <w:shd w:fill="1F3864" w:themeFill="accent1" w:themeFillShade="80"/>
          </w:tcPr>
          <w:p w14:paraId="5932E65C" wp14:textId="77777777">
            <w:pPr>
              <w:spacing w:before="40" w:after="40"/>
            </w:pPr>
            <w:r>
              <w:rPr>
                <w:b/>
                <w:color w:val="FFFFFF"/>
                <w:sz w:val="19"/>
              </w:rPr>
            </w:r>
            <w:r>
              <w:rPr>
                <w:b/>
                <w:color w:val="FFFFFF"/>
                <w:sz w:val="19"/>
              </w:rPr>
              <w:t>Verkorte referentie in tekst</w:t>
            </w:r>
          </w:p>
        </w:tc>
        <w:tc>
          <w:tcPr>
            <w:tcW w:w="3135" w:type="dxa"/>
            <w:shd w:fill="1F3864" w:themeFill="accent1" w:themeFillShade="80"/>
          </w:tcPr>
          <w:p w14:paraId="6E256870" wp14:textId="77777777">
            <w:pPr>
              <w:spacing w:before="40" w:after="40"/>
            </w:pPr>
            <w:r>
              <w:rPr>
                <w:b/>
                <w:color w:val="FFFFFF"/>
                <w:sz w:val="19"/>
              </w:rPr>
            </w:r>
            <w:r>
              <w:rPr>
                <w:b/>
                <w:color w:val="FFFFFF"/>
                <w:sz w:val="19"/>
              </w:rPr>
              <w:t>PDF-bestandsnaam</w:t>
            </w:r>
          </w:p>
        </w:tc>
        <w:tc>
          <w:tcPr>
            <w:tcW w:w="3135" w:type="dxa"/>
            <w:shd w:fill="1F3864" w:themeFill="accent1" w:themeFillShade="80"/>
          </w:tcPr>
          <w:p w14:paraId="1E10C796" wp14:textId="77777777">
            <w:pPr>
              <w:spacing w:before="40" w:after="40"/>
            </w:pPr>
            <w:r>
              <w:rPr>
                <w:b/>
                <w:color w:val="FFFFFF"/>
                <w:sz w:val="19"/>
              </w:rPr>
            </w:r>
            <w:r>
              <w:rPr>
                <w:b/>
                <w:color w:val="FFFFFF"/>
                <w:sz w:val="19"/>
              </w:rPr>
              <w:t>Relatief pad</w:t>
            </w:r>
          </w:p>
        </w:tc>
      </w:tr>
      <w:tr xmlns:wp14="http://schemas.microsoft.com/office/word/2010/wordml" w14:paraId="09CD34F3" wp14:textId="77777777">
        <w:tc>
          <w:tcPr>
            <w:tcW w:w="3135" w:type="dxa"/>
            <w:shd w:fill="F2F6FC"/>
          </w:tcPr>
          <w:p w14:paraId="6BF084A4" wp14:textId="77777777">
            <w:pPr>
              <w:spacing w:before="40" w:after="40"/>
            </w:pPr>
            <w:r>
              <w:rPr>
                <w:sz w:val="19"/>
              </w:rPr>
            </w:r>
            <w:r>
              <w:rPr>
                <w:sz w:val="19"/>
              </w:rPr>
              <w:t>Ardooie</w:t>
            </w:r>
          </w:p>
        </w:tc>
        <w:tc>
          <w:tcPr>
            <w:tcW w:w="3135" w:type="dxa"/>
            <w:shd w:fill="F2F6FC"/>
          </w:tcPr>
          <w:p w14:paraId="3E961406" wp14:textId="77777777">
            <w:pPr>
              <w:spacing w:before="40" w:after="40"/>
            </w:pPr>
            <w:r>
              <w:rPr>
                <w:sz w:val="19"/>
              </w:rPr>
            </w:r>
            <w:r>
              <w:rPr>
                <w:rFonts w:ascii="Consolas" w:hAnsi="Consolas"/>
                <w:sz w:val="19"/>
                <w:shd w:fill="F0F0F0"/>
              </w:rPr>
              <w:t>Ardooie advies PR-MER II_ongunstig.pdf</w:t>
            </w:r>
          </w:p>
        </w:tc>
        <w:tc>
          <w:tcPr>
            <w:tcW w:w="3135" w:type="dxa"/>
            <w:shd w:fill="F2F6FC"/>
          </w:tcPr>
          <w:p w14:paraId="6B5D4528" wp14:textId="77777777">
            <w:pPr>
              <w:spacing w:before="40" w:after="40"/>
            </w:pPr>
            <w:r>
              <w:rPr>
                <w:sz w:val="19"/>
              </w:rPr>
            </w:r>
            <w:r>
              <w:rPr>
                <w:rFonts w:ascii="Consolas" w:hAnsi="Consolas"/>
                <w:sz w:val="19"/>
                <w:shd w:fill="F0F0F0"/>
              </w:rPr>
              <w:t>2025025781\ADVIEZEN\</w:t>
            </w:r>
          </w:p>
        </w:tc>
      </w:tr>
      <w:tr xmlns:wp14="http://schemas.microsoft.com/office/word/2010/wordml" w14:paraId="1511B41E" wp14:textId="77777777">
        <w:tc>
          <w:tcPr>
            <w:tcW w:w="3135" w:type="dxa"/>
          </w:tcPr>
          <w:p w14:paraId="7C435F5B" wp14:textId="77777777">
            <w:pPr>
              <w:spacing w:before="40" w:after="40"/>
            </w:pPr>
            <w:r>
              <w:rPr>
                <w:sz w:val="19"/>
              </w:rPr>
            </w:r>
            <w:r>
              <w:rPr>
                <w:sz w:val="19"/>
              </w:rPr>
              <w:t>Harelbeke</w:t>
            </w:r>
          </w:p>
        </w:tc>
        <w:tc>
          <w:tcPr>
            <w:tcW w:w="3135" w:type="dxa"/>
          </w:tcPr>
          <w:p w14:paraId="0C320B6D" wp14:textId="77777777">
            <w:pPr>
              <w:spacing w:before="40" w:after="40"/>
            </w:pPr>
            <w:r>
              <w:rPr>
                <w:sz w:val="19"/>
              </w:rPr>
            </w:r>
            <w:r>
              <w:rPr>
                <w:rFonts w:ascii="Consolas" w:hAnsi="Consolas"/>
                <w:sz w:val="19"/>
                <w:shd w:fill="F0F0F0"/>
              </w:rPr>
              <w:t>Harelbeke advies_project_Mer_ongunstig.pdf</w:t>
            </w:r>
          </w:p>
        </w:tc>
        <w:tc>
          <w:tcPr>
            <w:tcW w:w="3135" w:type="dxa"/>
          </w:tcPr>
          <w:p w14:paraId="49F76E58" wp14:textId="77777777">
            <w:pPr>
              <w:spacing w:before="40" w:after="40"/>
            </w:pPr>
            <w:r>
              <w:rPr>
                <w:sz w:val="19"/>
              </w:rPr>
            </w:r>
            <w:r>
              <w:rPr>
                <w:rFonts w:ascii="Consolas" w:hAnsi="Consolas"/>
                <w:sz w:val="19"/>
                <w:shd w:fill="F0F0F0"/>
              </w:rPr>
              <w:t>2025025781\ADVIEZEN\</w:t>
            </w:r>
          </w:p>
        </w:tc>
      </w:tr>
      <w:tr xmlns:wp14="http://schemas.microsoft.com/office/word/2010/wordml" w14:paraId="3156AC6E" wp14:textId="77777777">
        <w:tc>
          <w:tcPr>
            <w:tcW w:w="3135" w:type="dxa"/>
            <w:shd w:fill="F2F6FC"/>
          </w:tcPr>
          <w:p w14:paraId="1A341AB5" wp14:textId="77777777">
            <w:pPr>
              <w:spacing w:before="40" w:after="40"/>
            </w:pPr>
            <w:r>
              <w:rPr>
                <w:sz w:val="19"/>
              </w:rPr>
            </w:r>
            <w:r>
              <w:rPr>
                <w:sz w:val="19"/>
              </w:rPr>
              <w:t>Lendelede</w:t>
            </w:r>
          </w:p>
        </w:tc>
        <w:tc>
          <w:tcPr>
            <w:tcW w:w="3135" w:type="dxa"/>
            <w:shd w:fill="F2F6FC"/>
          </w:tcPr>
          <w:p w14:paraId="0554AC32" wp14:textId="77777777">
            <w:pPr>
              <w:spacing w:before="40" w:after="40"/>
            </w:pPr>
            <w:r>
              <w:rPr>
                <w:sz w:val="19"/>
              </w:rPr>
            </w:r>
            <w:r>
              <w:rPr>
                <w:rFonts w:ascii="Consolas" w:hAnsi="Consolas"/>
                <w:sz w:val="19"/>
                <w:shd w:fill="F0F0F0"/>
              </w:rPr>
              <w:t>Lendelede_01122025_advies project-MER.pdf</w:t>
            </w:r>
          </w:p>
        </w:tc>
        <w:tc>
          <w:tcPr>
            <w:tcW w:w="3135" w:type="dxa"/>
            <w:shd w:fill="F2F6FC"/>
          </w:tcPr>
          <w:p w14:paraId="2609C618" wp14:textId="77777777">
            <w:pPr>
              <w:spacing w:before="40" w:after="40"/>
            </w:pPr>
            <w:r>
              <w:rPr>
                <w:sz w:val="19"/>
              </w:rPr>
            </w:r>
            <w:r>
              <w:rPr>
                <w:rFonts w:ascii="Consolas" w:hAnsi="Consolas"/>
                <w:sz w:val="19"/>
                <w:shd w:fill="F0F0F0"/>
              </w:rPr>
              <w:t>2025025781\ADVIEZEN\</w:t>
            </w:r>
          </w:p>
        </w:tc>
      </w:tr>
      <w:tr xmlns:wp14="http://schemas.microsoft.com/office/word/2010/wordml" w14:paraId="38B46E17" wp14:textId="77777777">
        <w:tc>
          <w:tcPr>
            <w:tcW w:w="3135" w:type="dxa"/>
          </w:tcPr>
          <w:p w14:paraId="63409D29" wp14:textId="77777777">
            <w:pPr>
              <w:spacing w:before="40" w:after="40"/>
            </w:pPr>
            <w:r>
              <w:rPr>
                <w:sz w:val="19"/>
              </w:rPr>
            </w:r>
            <w:r>
              <w:rPr>
                <w:sz w:val="19"/>
              </w:rPr>
              <w:t>Zedelgem</w:t>
            </w:r>
          </w:p>
        </w:tc>
        <w:tc>
          <w:tcPr>
            <w:tcW w:w="3135" w:type="dxa"/>
          </w:tcPr>
          <w:p w14:paraId="05A2C385" wp14:textId="77777777">
            <w:pPr>
              <w:spacing w:before="40" w:after="40"/>
            </w:pPr>
            <w:r>
              <w:rPr>
                <w:sz w:val="19"/>
              </w:rPr>
            </w:r>
            <w:r>
              <w:rPr>
                <w:rFonts w:ascii="Consolas" w:hAnsi="Consolas"/>
                <w:sz w:val="19"/>
                <w:shd w:fill="F0F0F0"/>
              </w:rPr>
              <w:t>Zedelgem advies OMV 2025025781 projectMER gemeente.pdf</w:t>
            </w:r>
          </w:p>
        </w:tc>
        <w:tc>
          <w:tcPr>
            <w:tcW w:w="3135" w:type="dxa"/>
          </w:tcPr>
          <w:p w14:paraId="20AE0C88" wp14:textId="77777777">
            <w:pPr>
              <w:spacing w:before="40" w:after="40"/>
            </w:pPr>
            <w:r>
              <w:rPr>
                <w:sz w:val="19"/>
              </w:rPr>
            </w:r>
            <w:r>
              <w:rPr>
                <w:rFonts w:ascii="Consolas" w:hAnsi="Consolas"/>
                <w:sz w:val="19"/>
                <w:shd w:fill="F0F0F0"/>
              </w:rPr>
              <w:t>2025025781\ADVIEZEN\</w:t>
            </w:r>
          </w:p>
        </w:tc>
      </w:tr>
      <w:tr xmlns:wp14="http://schemas.microsoft.com/office/word/2010/wordml" w14:paraId="6F58C379" wp14:textId="77777777">
        <w:tc>
          <w:tcPr>
            <w:tcW w:w="3135" w:type="dxa"/>
            <w:shd w:fill="F2F6FC"/>
          </w:tcPr>
          <w:p w14:paraId="4B78D9E7" wp14:textId="77777777">
            <w:pPr>
              <w:spacing w:before="40" w:after="40"/>
            </w:pPr>
            <w:r>
              <w:rPr>
                <w:sz w:val="19"/>
              </w:rPr>
            </w:r>
            <w:r>
              <w:rPr>
                <w:sz w:val="19"/>
              </w:rPr>
              <w:t>Defensie (DGLV/Luchtvaart)</w:t>
            </w:r>
          </w:p>
        </w:tc>
        <w:tc>
          <w:tcPr>
            <w:tcW w:w="3135" w:type="dxa"/>
            <w:shd w:fill="F2F6FC"/>
          </w:tcPr>
          <w:p w14:paraId="6DE57B1E" wp14:textId="77777777">
            <w:pPr>
              <w:spacing w:before="40" w:after="40"/>
            </w:pPr>
            <w:r>
              <w:rPr>
                <w:sz w:val="19"/>
              </w:rPr>
            </w:r>
            <w:r>
              <w:rPr>
                <w:rFonts w:ascii="Consolas" w:hAnsi="Consolas"/>
                <w:sz w:val="19"/>
                <w:shd w:fill="F0F0F0"/>
              </w:rPr>
              <w:t>Defensie 20251120_ORG_25-00190557-4622-3-IZEGEM-Avis sur OMV.pdf</w:t>
            </w:r>
          </w:p>
        </w:tc>
        <w:tc>
          <w:tcPr>
            <w:tcW w:w="3135" w:type="dxa"/>
            <w:shd w:fill="F2F6FC"/>
          </w:tcPr>
          <w:p w14:paraId="49C6B275" wp14:textId="77777777">
            <w:pPr>
              <w:spacing w:before="40" w:after="40"/>
            </w:pPr>
            <w:r>
              <w:rPr>
                <w:sz w:val="19"/>
              </w:rPr>
            </w:r>
            <w:r>
              <w:rPr>
                <w:rFonts w:ascii="Consolas" w:hAnsi="Consolas"/>
                <w:sz w:val="19"/>
                <w:shd w:fill="F0F0F0"/>
              </w:rPr>
              <w:t>2025025781\ADVIEZEN\</w:t>
            </w:r>
          </w:p>
        </w:tc>
      </w:tr>
    </w:tbl>
    <w:p xmlns:wp14="http://schemas.microsoft.com/office/word/2010/wordml" w14:paraId="62486C05" wp14:textId="77777777"/>
    <w:p xmlns:wp14="http://schemas.microsoft.com/office/word/2010/wordml" w14:paraId="42D5ED9B" wp14:textId="77777777">
      <w:pPr>
        <w:pStyle w:val="Heading3"/>
      </w:pPr>
      <w:r>
        <w:t>Wetgeving en internationale bronnen</w:t>
      </w:r>
    </w:p>
    <w:tbl>
      <w:tblPr>
        <w:tblStyle w:val="TableGrid"/>
        <w:tblW w:w="0" w:type="auto"/>
        <w:jc w:val="left"/>
        <w:tblLook w:val="04A0" w:firstRow="1" w:lastRow="0" w:firstColumn="1" w:lastColumn="0" w:noHBand="0" w:noVBand="1"/>
      </w:tblPr>
      <w:tblGrid>
        <w:gridCol w:w="4703"/>
        <w:gridCol w:w="4703"/>
      </w:tblGrid>
      <w:tr xmlns:wp14="http://schemas.microsoft.com/office/word/2010/wordml" w14:paraId="3B65F1BE" wp14:textId="77777777">
        <w:tc>
          <w:tcPr>
            <w:tcW w:w="4703" w:type="dxa"/>
            <w:shd w:fill="1F3864" w:themeFill="accent1" w:themeFillShade="80"/>
          </w:tcPr>
          <w:p w14:paraId="77BF6345" wp14:textId="77777777">
            <w:pPr>
              <w:spacing w:before="40" w:after="40"/>
            </w:pPr>
            <w:r>
              <w:rPr>
                <w:b/>
                <w:color w:val="FFFFFF"/>
                <w:sz w:val="19"/>
              </w:rPr>
            </w:r>
            <w:r>
              <w:rPr>
                <w:b/>
                <w:color w:val="FFFFFF"/>
                <w:sz w:val="19"/>
              </w:rPr>
              <w:t>Verkorte referentie in tekst</w:t>
            </w:r>
          </w:p>
        </w:tc>
        <w:tc>
          <w:tcPr>
            <w:tcW w:w="4703" w:type="dxa"/>
            <w:shd w:fill="1F3864" w:themeFill="accent1" w:themeFillShade="80"/>
          </w:tcPr>
          <w:p w14:paraId="22A95ACE" wp14:textId="77777777">
            <w:pPr>
              <w:spacing w:before="40" w:after="40"/>
            </w:pPr>
            <w:r>
              <w:rPr>
                <w:b/>
                <w:color w:val="FFFFFF"/>
                <w:sz w:val="19"/>
              </w:rPr>
            </w:r>
            <w:r>
              <w:rPr>
                <w:b/>
                <w:color w:val="FFFFFF"/>
                <w:sz w:val="19"/>
              </w:rPr>
              <w:t>Volledige referentie</w:t>
            </w:r>
          </w:p>
        </w:tc>
      </w:tr>
      <w:tr xmlns:wp14="http://schemas.microsoft.com/office/word/2010/wordml" w14:paraId="735085D2" wp14:textId="77777777">
        <w:tc>
          <w:tcPr>
            <w:tcW w:w="4703" w:type="dxa"/>
            <w:shd w:fill="F2F6FC"/>
          </w:tcPr>
          <w:p w14:paraId="0E54D449" wp14:textId="77777777">
            <w:pPr>
              <w:spacing w:before="40" w:after="40"/>
            </w:pPr>
            <w:r>
              <w:rPr>
                <w:sz w:val="19"/>
              </w:rPr>
            </w:r>
            <w:r>
              <w:rPr>
                <w:sz w:val="19"/>
              </w:rPr>
              <w:t>EU F-gassenverordening</w:t>
            </w:r>
          </w:p>
        </w:tc>
        <w:tc>
          <w:tcPr>
            <w:tcW w:w="4703" w:type="dxa"/>
            <w:shd w:fill="F2F6FC"/>
          </w:tcPr>
          <w:p w14:paraId="56542053" wp14:textId="77777777">
            <w:pPr>
              <w:spacing w:before="40" w:after="40"/>
            </w:pPr>
            <w:r>
              <w:rPr>
                <w:sz w:val="19"/>
              </w:rPr>
            </w:r>
            <w:r>
              <w:rPr>
                <w:sz w:val="19"/>
              </w:rPr>
              <w:t>Verordening (EU) 2024/573 van het Europees Parlement en de Raad van 7 februari 2024 betreffende gefluoreerde broeikasgassen, tot wijziging van Richtlijn (EU) 2019/1937 en tot intrekking van Verordening (EU) nr. 517/2014</w:t>
            </w:r>
          </w:p>
        </w:tc>
      </w:tr>
      <w:tr xmlns:wp14="http://schemas.microsoft.com/office/word/2010/wordml" w14:paraId="4242F259" wp14:textId="77777777">
        <w:tc>
          <w:tcPr>
            <w:tcW w:w="4703" w:type="dxa"/>
          </w:tcPr>
          <w:p w14:paraId="5509A8D5" wp14:textId="77777777">
            <w:pPr>
              <w:spacing w:before="40" w:after="40"/>
            </w:pPr>
            <w:r>
              <w:rPr>
                <w:sz w:val="19"/>
              </w:rPr>
            </w:r>
            <w:r>
              <w:rPr>
                <w:sz w:val="19"/>
              </w:rPr>
              <w:t>EHRM Hatton t. VK</w:t>
            </w:r>
          </w:p>
        </w:tc>
        <w:tc>
          <w:tcPr>
            <w:tcW w:w="4703" w:type="dxa"/>
          </w:tcPr>
          <w:p w14:paraId="05A3B95D" wp14:textId="77777777">
            <w:pPr>
              <w:spacing w:before="40" w:after="40"/>
            </w:pPr>
            <w:r>
              <w:rPr>
                <w:sz w:val="19"/>
              </w:rPr>
            </w:r>
            <w:r>
              <w:rPr>
                <w:sz w:val="19"/>
              </w:rPr>
              <w:t>EHRM (Grote Kamer), Hatton e.a. t. Verenigd Koninkrijk, 8 juli 2003, nr. 36022/97</w:t>
            </w:r>
          </w:p>
        </w:tc>
      </w:tr>
      <w:tr xmlns:wp14="http://schemas.microsoft.com/office/word/2010/wordml" w14:paraId="10457E14" wp14:textId="77777777">
        <w:tc>
          <w:tcPr>
            <w:tcW w:w="4703" w:type="dxa"/>
            <w:shd w:fill="F2F6FC"/>
          </w:tcPr>
          <w:p w14:paraId="57762EF8" wp14:textId="77777777">
            <w:pPr>
              <w:spacing w:before="40" w:after="40"/>
            </w:pPr>
            <w:r>
              <w:rPr>
                <w:sz w:val="19"/>
              </w:rPr>
            </w:r>
            <w:r>
              <w:rPr>
                <w:sz w:val="19"/>
              </w:rPr>
              <w:t>EHRM Moreno Gomez t. Spanje</w:t>
            </w:r>
          </w:p>
        </w:tc>
        <w:tc>
          <w:tcPr>
            <w:tcW w:w="4703" w:type="dxa"/>
            <w:shd w:fill="F2F6FC"/>
          </w:tcPr>
          <w:p w14:paraId="5EAACF4D" wp14:textId="77777777">
            <w:pPr>
              <w:spacing w:before="40" w:after="40"/>
            </w:pPr>
            <w:r>
              <w:rPr>
                <w:sz w:val="19"/>
              </w:rPr>
            </w:r>
            <w:r>
              <w:rPr>
                <w:sz w:val="19"/>
              </w:rPr>
              <w:t>EHRM, Moreno Gomez t. Spanje, 16 november 2004, nr. 4143/02</w:t>
            </w:r>
          </w:p>
        </w:tc>
      </w:tr>
      <w:tr xmlns:wp14="http://schemas.microsoft.com/office/word/2010/wordml" w14:paraId="21295916" wp14:textId="77777777">
        <w:tc>
          <w:tcPr>
            <w:tcW w:w="4703" w:type="dxa"/>
          </w:tcPr>
          <w:p w14:paraId="5A9A8C46" wp14:textId="77777777">
            <w:pPr>
              <w:spacing w:before="40" w:after="40"/>
            </w:pPr>
            <w:r>
              <w:rPr>
                <w:sz w:val="19"/>
              </w:rPr>
            </w:r>
            <w:r>
              <w:rPr>
                <w:sz w:val="19"/>
              </w:rPr>
              <w:t>EU Risicoparaatheid elektriciteit</w:t>
            </w:r>
          </w:p>
        </w:tc>
        <w:tc>
          <w:tcPr>
            <w:tcW w:w="4703" w:type="dxa"/>
          </w:tcPr>
          <w:p w14:paraId="5F5DAF49" wp14:textId="77777777">
            <w:pPr>
              <w:spacing w:before="40" w:after="40"/>
            </w:pPr>
            <w:r>
              <w:rPr>
                <w:sz w:val="19"/>
              </w:rPr>
            </w:r>
            <w:r>
              <w:rPr>
                <w:sz w:val="19"/>
              </w:rPr>
              <w:t>Verordening (EU) 2019/941 van het Europees Parlement en de Raad van 5 juni 2019 betreffende risicoparaatheid in de elektriciteitssector</w:t>
            </w:r>
          </w:p>
        </w:tc>
      </w:tr>
      <w:tr xmlns:wp14="http://schemas.microsoft.com/office/word/2010/wordml" w14:paraId="38E41307" wp14:textId="77777777">
        <w:tc>
          <w:tcPr>
            <w:tcW w:w="4703" w:type="dxa"/>
            <w:shd w:fill="F2F6FC"/>
          </w:tcPr>
          <w:p w14:paraId="1101DDA5" wp14:textId="77777777">
            <w:pPr>
              <w:spacing w:before="40" w:after="40"/>
            </w:pPr>
            <w:r>
              <w:rPr>
                <w:sz w:val="19"/>
              </w:rPr>
            </w:r>
            <w:r>
              <w:rPr>
                <w:sz w:val="19"/>
              </w:rPr>
              <w:t>Blue Deal</w:t>
            </w:r>
          </w:p>
        </w:tc>
        <w:tc>
          <w:tcPr>
            <w:tcW w:w="4703" w:type="dxa"/>
            <w:shd w:fill="F2F6FC"/>
          </w:tcPr>
          <w:p w14:paraId="576DA3D8" wp14:textId="77777777">
            <w:pPr>
              <w:spacing w:before="40" w:after="40"/>
            </w:pPr>
            <w:r>
              <w:rPr>
                <w:sz w:val="19"/>
              </w:rPr>
            </w:r>
            <w:r>
              <w:rPr>
                <w:sz w:val="19"/>
              </w:rPr>
              <w:t>Beslissing Vlaamse Regering inzake Blue Deal (strijd tegen waterschaarste en droogte), 2020</w:t>
            </w:r>
          </w:p>
        </w:tc>
      </w:tr>
    </w:tbl>
    <w:p xmlns:wp14="http://schemas.microsoft.com/office/word/2010/wordml" w14:paraId="4101652C" wp14:textId="77777777"/>
    <w:p xmlns:wp14="http://schemas.microsoft.com/office/word/2010/wordml" w14:paraId="2C43115F" wp14:textId="77777777">
      <w:pPr>
        <w:pStyle w:val="Heading3"/>
      </w:pPr>
      <w:r>
        <w:t>Wetenschappelijke bronnen</w:t>
      </w:r>
    </w:p>
    <w:tbl>
      <w:tblPr>
        <w:tblStyle w:val="TableGrid"/>
        <w:tblW w:w="0" w:type="auto"/>
        <w:jc w:val="left"/>
        <w:tblLook w:val="04A0" w:firstRow="1" w:lastRow="0" w:firstColumn="1" w:lastColumn="0" w:noHBand="0" w:noVBand="1"/>
      </w:tblPr>
      <w:tblGrid>
        <w:gridCol w:w="3135"/>
        <w:gridCol w:w="3135"/>
        <w:gridCol w:w="3135"/>
      </w:tblGrid>
      <w:tr xmlns:wp14="http://schemas.microsoft.com/office/word/2010/wordml" w14:paraId="6716A4D0" wp14:textId="77777777">
        <w:tc>
          <w:tcPr>
            <w:tcW w:w="3135" w:type="dxa"/>
            <w:shd w:fill="1F3864" w:themeFill="accent1" w:themeFillShade="80"/>
          </w:tcPr>
          <w:p w14:paraId="07616024" wp14:textId="77777777">
            <w:pPr>
              <w:spacing w:before="40" w:after="40"/>
            </w:pPr>
            <w:r>
              <w:rPr>
                <w:b/>
                <w:color w:val="FFFFFF"/>
                <w:sz w:val="19"/>
              </w:rPr>
            </w:r>
            <w:r>
              <w:rPr>
                <w:b/>
                <w:color w:val="FFFFFF"/>
                <w:sz w:val="19"/>
              </w:rPr>
              <w:t>Verkorte referentie in tekst</w:t>
            </w:r>
          </w:p>
        </w:tc>
        <w:tc>
          <w:tcPr>
            <w:tcW w:w="3135" w:type="dxa"/>
            <w:shd w:fill="1F3864" w:themeFill="accent1" w:themeFillShade="80"/>
          </w:tcPr>
          <w:p w14:paraId="458FEF8E" wp14:textId="77777777">
            <w:pPr>
              <w:spacing w:before="40" w:after="40"/>
            </w:pPr>
            <w:r>
              <w:rPr>
                <w:b/>
                <w:color w:val="FFFFFF"/>
                <w:sz w:val="19"/>
              </w:rPr>
            </w:r>
            <w:r>
              <w:rPr>
                <w:b/>
                <w:color w:val="FFFFFF"/>
                <w:sz w:val="19"/>
              </w:rPr>
              <w:t>Volledige referentie</w:t>
            </w:r>
          </w:p>
        </w:tc>
        <w:tc>
          <w:tcPr>
            <w:tcW w:w="3135" w:type="dxa"/>
            <w:shd w:fill="1F3864" w:themeFill="accent1" w:themeFillShade="80"/>
          </w:tcPr>
          <w:p w14:paraId="54184D58" wp14:textId="77777777">
            <w:pPr>
              <w:spacing w:before="40" w:after="40"/>
            </w:pPr>
            <w:r>
              <w:rPr>
                <w:b/>
                <w:color w:val="FFFFFF"/>
                <w:sz w:val="19"/>
              </w:rPr>
            </w:r>
            <w:r>
              <w:rPr>
                <w:b/>
                <w:color w:val="FFFFFF"/>
                <w:sz w:val="19"/>
              </w:rPr>
              <w:t>DOI</w:t>
            </w:r>
          </w:p>
        </w:tc>
      </w:tr>
      <w:tr xmlns:wp14="http://schemas.microsoft.com/office/word/2010/wordml" w14:paraId="2BAF4F62" wp14:textId="77777777">
        <w:tc>
          <w:tcPr>
            <w:tcW w:w="3135" w:type="dxa"/>
            <w:shd w:fill="F2F6FC"/>
          </w:tcPr>
          <w:p w14:paraId="288836E4" wp14:textId="77777777">
            <w:pPr>
              <w:spacing w:before="40" w:after="40"/>
            </w:pPr>
            <w:r>
              <w:rPr>
                <w:sz w:val="19"/>
              </w:rPr>
            </w:r>
            <w:r>
              <w:rPr>
                <w:sz w:val="19"/>
              </w:rPr>
              <w:t>De Vito et al. 2024</w:t>
            </w:r>
          </w:p>
        </w:tc>
        <w:tc>
          <w:tcPr>
            <w:tcW w:w="3135" w:type="dxa"/>
            <w:shd w:fill="F2F6FC"/>
          </w:tcPr>
          <w:p w14:paraId="7ED4D44C" wp14:textId="77777777">
            <w:pPr>
              <w:spacing w:before="40" w:after="40"/>
            </w:pPr>
            <w:r>
              <w:rPr>
                <w:sz w:val="19"/>
              </w:rPr>
            </w:r>
            <w:r>
              <w:rPr>
                <w:sz w:val="19"/>
              </w:rPr>
              <w:t xml:space="preserve">De Vito, L. et al. (2024). Corona discharge sensing for monitoring environmental impact of power lines. </w:t>
            </w:r>
            <w:r>
              <w:rPr>
                <w:i/>
                <w:sz w:val="19"/>
              </w:rPr>
              <w:t>Sensors</w:t>
            </w:r>
            <w:r>
              <w:rPr>
                <w:sz w:val="19"/>
              </w:rPr>
              <w:t>, 24(2), 587.</w:t>
            </w:r>
          </w:p>
        </w:tc>
        <w:tc>
          <w:tcPr>
            <w:tcW w:w="3135" w:type="dxa"/>
            <w:shd w:fill="F2F6FC"/>
          </w:tcPr>
          <w:p w14:paraId="7840B00D" wp14:textId="77777777">
            <w:pPr>
              <w:spacing w:before="40" w:after="40"/>
            </w:pPr>
            <w:r>
              <w:rPr>
                <w:sz w:val="19"/>
              </w:rPr>
            </w:r>
            <w:r>
              <w:rPr>
                <w:sz w:val="19"/>
              </w:rPr>
              <w:t>10.3390/s24020587</w:t>
            </w:r>
          </w:p>
        </w:tc>
      </w:tr>
      <w:tr xmlns:wp14="http://schemas.microsoft.com/office/word/2010/wordml" w14:paraId="0BCBEF5A" wp14:textId="77777777">
        <w:tc>
          <w:tcPr>
            <w:tcW w:w="3135" w:type="dxa"/>
          </w:tcPr>
          <w:p w14:paraId="77F7867C" wp14:textId="77777777">
            <w:pPr>
              <w:spacing w:before="40" w:after="40"/>
            </w:pPr>
            <w:r>
              <w:rPr>
                <w:sz w:val="19"/>
              </w:rPr>
            </w:r>
            <w:r>
              <w:rPr>
                <w:sz w:val="19"/>
              </w:rPr>
              <w:t>Zobaa et al. 2025</w:t>
            </w:r>
          </w:p>
        </w:tc>
        <w:tc>
          <w:tcPr>
            <w:tcW w:w="3135" w:type="dxa"/>
          </w:tcPr>
          <w:p w14:paraId="02B2141C" wp14:textId="77777777">
            <w:pPr>
              <w:spacing w:before="40" w:after="40"/>
            </w:pPr>
            <w:r>
              <w:rPr>
                <w:sz w:val="19"/>
              </w:rPr>
            </w:r>
            <w:r>
              <w:rPr>
                <w:sz w:val="19"/>
              </w:rPr>
              <w:t xml:space="preserve">Zobaa, A.F. et al. (2025). Environmental and health impacts of corona discharge emissions from high-voltage transmission lines. </w:t>
            </w:r>
            <w:r>
              <w:rPr>
                <w:i/>
                <w:sz w:val="19"/>
              </w:rPr>
              <w:t>Scientific Reports</w:t>
            </w:r>
            <w:r>
              <w:rPr>
                <w:sz w:val="19"/>
              </w:rPr>
              <w:t>, 15.</w:t>
            </w:r>
          </w:p>
        </w:tc>
        <w:tc>
          <w:tcPr>
            <w:tcW w:w="3135" w:type="dxa"/>
          </w:tcPr>
          <w:p w14:paraId="5945A45B" wp14:textId="77777777">
            <w:pPr>
              <w:spacing w:before="40" w:after="40"/>
            </w:pPr>
            <w:r>
              <w:rPr>
                <w:sz w:val="19"/>
              </w:rPr>
            </w:r>
            <w:r>
              <w:rPr>
                <w:sz w:val="19"/>
              </w:rPr>
              <w:t>10.1038/s41598-025-26521-z</w:t>
            </w:r>
          </w:p>
        </w:tc>
      </w:tr>
      <w:tr xmlns:wp14="http://schemas.microsoft.com/office/word/2010/wordml" w14:paraId="593EDE3F" wp14:textId="77777777">
        <w:tc>
          <w:tcPr>
            <w:tcW w:w="3135" w:type="dxa"/>
            <w:shd w:fill="F2F6FC"/>
          </w:tcPr>
          <w:p w14:paraId="05C1B5CB" wp14:textId="77777777">
            <w:pPr>
              <w:spacing w:before="40" w:after="40"/>
            </w:pPr>
            <w:r>
              <w:rPr>
                <w:sz w:val="19"/>
              </w:rPr>
            </w:r>
            <w:r>
              <w:rPr>
                <w:sz w:val="19"/>
              </w:rPr>
              <w:t>WHO 2018</w:t>
            </w:r>
          </w:p>
        </w:tc>
        <w:tc>
          <w:tcPr>
            <w:tcW w:w="3135" w:type="dxa"/>
            <w:shd w:fill="F2F6FC"/>
          </w:tcPr>
          <w:p w14:paraId="08FC7006" wp14:textId="77777777">
            <w:pPr>
              <w:spacing w:before="40" w:after="40"/>
            </w:pPr>
            <w:r>
              <w:rPr>
                <w:sz w:val="19"/>
              </w:rPr>
            </w:r>
            <w:r>
              <w:rPr>
                <w:sz w:val="19"/>
              </w:rPr>
              <w:t xml:space="preserve">World Health Organization (2018). </w:t>
            </w:r>
            <w:r>
              <w:rPr>
                <w:i/>
                <w:sz w:val="19"/>
              </w:rPr>
              <w:t>Environmental Noise Guidelines for the European Region</w:t>
            </w:r>
            <w:r>
              <w:rPr>
                <w:sz w:val="19"/>
              </w:rPr>
              <w:t>. WHO Regional Office for Europe.</w:t>
            </w:r>
          </w:p>
        </w:tc>
        <w:tc>
          <w:tcPr>
            <w:tcW w:w="3135" w:type="dxa"/>
            <w:shd w:fill="F2F6FC"/>
          </w:tcPr>
          <w:p w14:paraId="2D366E0F" wp14:textId="77777777">
            <w:pPr>
              <w:spacing w:before="40" w:after="40"/>
            </w:pPr>
            <w:r>
              <w:rPr>
                <w:sz w:val="19"/>
              </w:rPr>
            </w:r>
            <w:r>
              <w:rPr>
                <w:sz w:val="19"/>
              </w:rPr>
              <w:t>—</w:t>
            </w:r>
          </w:p>
        </w:tc>
      </w:tr>
    </w:tbl>
    <w:p xmlns:wp14="http://schemas.microsoft.com/office/word/2010/wordml" w14:paraId="4B99056E" wp14:textId="77777777"/>
    <w:sectPr w:rsidRPr="0006063C" w:rsidR="00FC693F" w:rsidSect="00034616">
      <w:pgSz w:w="12240" w:h="15840" w:orient="portrait"/>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roofState w:spelling="clean" w:grammar="dirty"/>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1D267A4"/>
    <w:rsid w:val="1F107BAB"/>
    <w:rsid w:val="29FFE96C"/>
    <w:rsid w:val="40D61EFF"/>
    <w:rsid w:val="4AEADA42"/>
    <w:rsid w:val="50C8EF53"/>
    <w:rsid w:val="53CB5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5F77B959-0E3E-482D-9C73-F51011C958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uiPriority w:val="0"/>
    <w:name w:val="Normal"/>
    <w:qFormat/>
    <w:rsid w:val="4AEADA42"/>
    <w:rPr>
      <w:rFonts w:ascii="Calibri" w:hAnsi="Calibri"/>
      <w:noProof w:val="0"/>
      <w:lang w:val="nl-BE"/>
    </w:rPr>
    <w:pPr>
      <w:spacing w:after="120"/>
    </w:pPr>
  </w:style>
  <w:style w:type="paragraph" w:styleId="Header">
    <w:uiPriority w:val="99"/>
    <w:name w:val="header"/>
    <w:basedOn w:val="Normal"/>
    <w:unhideWhenUsed/>
    <w:link w:val="HeaderChar"/>
    <w:rsid w:val="4AEADA42"/>
    <w:pPr>
      <w:tabs>
        <w:tab w:val="center" w:leader="none" w:pos="4680"/>
        <w:tab w:val="right" w:leader="none" w:pos="9360"/>
      </w:tabs>
      <w:spacing w:after="0"/>
    </w:pPr>
  </w:style>
  <w:style w:type="character" w:styleId="HeaderChar" w:customStyle="1">
    <w:name w:val="Header Char"/>
    <w:basedOn w:val="DefaultParagraphFont"/>
    <w:link w:val="Header"/>
    <w:uiPriority w:val="99"/>
    <w:rsid w:val="00E618BF"/>
  </w:style>
  <w:style w:type="paragraph" w:styleId="Footer">
    <w:uiPriority w:val="99"/>
    <w:name w:val="footer"/>
    <w:basedOn w:val="Normal"/>
    <w:unhideWhenUsed/>
    <w:link w:val="FooterChar"/>
    <w:rsid w:val="4AEADA42"/>
    <w:pPr>
      <w:tabs>
        <w:tab w:val="center" w:leader="none" w:pos="4680"/>
        <w:tab w:val="right" w:leader="none" w:pos="9360"/>
      </w:tabs>
      <w:spacing w:after="0"/>
    </w:pPr>
  </w:style>
  <w:style w:type="character" w:styleId="FooterChar" w:customStyle="1">
    <w:name w:val="Footer Char"/>
    <w:basedOn w:val="DefaultParagraphFont"/>
    <w:link w:val="Footer"/>
    <w:uiPriority w:val="99"/>
    <w:rsid w:val="00E618BF"/>
  </w:style>
  <w:style w:type="paragraph" w:styleId="Heading1">
    <w:uiPriority w:val="9"/>
    <w:name w:val="heading 1"/>
    <w:basedOn w:val="Normal"/>
    <w:next w:val="Normal"/>
    <w:link w:val="Heading1Char"/>
    <w:qFormat/>
    <w:rsid w:val="4AEADA42"/>
    <w:rPr>
      <w:rFonts w:eastAsia="ＭＳ ゴシック" w:cs="" w:asciiTheme="majorAscii" w:hAnsiTheme="majorAscii" w:eastAsiaTheme="majorEastAsia" w:cstheme="majorBidi"/>
      <w:b w:val="1"/>
      <w:bCs w:val="1"/>
      <w:color w:val="1F3864"/>
      <w:sz w:val="36"/>
      <w:szCs w:val="36"/>
    </w:rPr>
    <w:pPr>
      <w:keepNext w:val="1"/>
      <w:keepLines w:val="1"/>
      <w:spacing w:before="480" w:after="240"/>
      <w:outlineLvl w:val="0"/>
    </w:pPr>
  </w:style>
  <w:style w:type="paragraph" w:styleId="Heading2">
    <w:uiPriority w:val="9"/>
    <w:name w:val="heading 2"/>
    <w:basedOn w:val="Normal"/>
    <w:next w:val="Normal"/>
    <w:unhideWhenUsed/>
    <w:link w:val="Heading2Char"/>
    <w:qFormat/>
    <w:rsid w:val="4AEADA42"/>
    <w:rPr>
      <w:rFonts w:eastAsia="ＭＳ ゴシック" w:cs="" w:asciiTheme="majorAscii" w:hAnsiTheme="majorAscii" w:eastAsiaTheme="majorEastAsia" w:cstheme="majorBidi"/>
      <w:b w:val="1"/>
      <w:bCs w:val="1"/>
      <w:color w:val="1F3864"/>
      <w:sz w:val="28"/>
      <w:szCs w:val="28"/>
    </w:rPr>
    <w:pPr>
      <w:keepNext w:val="1"/>
      <w:keepLines w:val="1"/>
      <w:spacing w:before="360" w:after="160"/>
      <w:outlineLvl w:val="1"/>
    </w:pPr>
  </w:style>
  <w:style w:type="paragraph" w:styleId="Heading3">
    <w:uiPriority w:val="9"/>
    <w:name w:val="heading 3"/>
    <w:basedOn w:val="Normal"/>
    <w:next w:val="Normal"/>
    <w:unhideWhenUsed/>
    <w:link w:val="Heading3Char"/>
    <w:qFormat/>
    <w:rsid w:val="4AEADA42"/>
    <w:rPr>
      <w:rFonts w:eastAsia="ＭＳ ゴシック" w:cs="" w:asciiTheme="majorAscii" w:hAnsiTheme="majorAscii" w:eastAsiaTheme="majorEastAsia" w:cstheme="majorBidi"/>
      <w:b w:val="1"/>
      <w:bCs w:val="1"/>
      <w:color w:val="1F3864"/>
      <w:sz w:val="24"/>
      <w:szCs w:val="24"/>
    </w:rPr>
    <w:pPr>
      <w:keepNext w:val="1"/>
      <w:keepLines w:val="1"/>
      <w:spacing w:before="240"/>
      <w:outlineLvl w:val="2"/>
    </w:pPr>
  </w:style>
  <w:style w:type="paragraph" w:styleId="Heading4">
    <w:uiPriority w:val="9"/>
    <w:name w:val="heading 4"/>
    <w:basedOn w:val="Normal"/>
    <w:next w:val="Normal"/>
    <w:semiHidden/>
    <w:unhideWhenUsed/>
    <w:link w:val="Heading4Char"/>
    <w:qFormat/>
    <w:rsid w:val="4AEADA42"/>
    <w:rPr>
      <w:rFonts w:eastAsia="ＭＳ ゴシック" w:cs="" w:asciiTheme="majorAscii" w:hAnsiTheme="majorAscii" w:eastAsiaTheme="majorEastAsia" w:cstheme="majorBidi"/>
      <w:b w:val="1"/>
      <w:bCs w:val="1"/>
      <w:i w:val="1"/>
      <w:iCs w:val="1"/>
      <w:color w:val="1F3864"/>
    </w:rPr>
    <w:pPr>
      <w:keepNext w:val="1"/>
      <w:keepLines w:val="1"/>
      <w:spacing w:before="200" w:after="80"/>
      <w:outlineLvl w:val="3"/>
    </w:pPr>
  </w:style>
  <w:style w:type="paragraph" w:styleId="Heading5">
    <w:uiPriority w:val="9"/>
    <w:name w:val="heading 5"/>
    <w:basedOn w:val="Normal"/>
    <w:next w:val="Normal"/>
    <w:semiHidden/>
    <w:unhideWhenUsed/>
    <w:link w:val="Heading5Char"/>
    <w:qFormat/>
    <w:rsid w:val="4AEADA42"/>
    <w:rPr>
      <w:rFonts w:eastAsia="ＭＳ ゴシック" w:cs="" w:asciiTheme="majorAscii" w:hAnsiTheme="majorAscii" w:eastAsiaTheme="majorEastAsia" w:cstheme="majorBidi"/>
      <w:color w:val="243F60"/>
    </w:rPr>
    <w:pPr>
      <w:keepNext w:val="1"/>
      <w:keepLines w:val="1"/>
      <w:spacing w:before="200" w:after="0"/>
      <w:outlineLvl w:val="4"/>
    </w:pPr>
  </w:style>
  <w:style w:type="paragraph" w:styleId="Heading6">
    <w:uiPriority w:val="9"/>
    <w:name w:val="heading 6"/>
    <w:basedOn w:val="Normal"/>
    <w:next w:val="Normal"/>
    <w:semiHidden/>
    <w:unhideWhenUsed/>
    <w:link w:val="Heading6Char"/>
    <w:qFormat/>
    <w:rsid w:val="4AEADA42"/>
    <w:rPr>
      <w:rFonts w:eastAsia="ＭＳ ゴシック" w:cs="" w:asciiTheme="majorAscii" w:hAnsiTheme="majorAscii" w:eastAsiaTheme="majorEastAsia" w:cstheme="majorBidi"/>
      <w:i w:val="1"/>
      <w:iCs w:val="1"/>
      <w:color w:val="243F60"/>
    </w:rPr>
    <w:pPr>
      <w:keepNext w:val="1"/>
      <w:keepLines w:val="1"/>
      <w:spacing w:before="200" w:after="0"/>
      <w:outlineLvl w:val="5"/>
    </w:pPr>
  </w:style>
  <w:style w:type="paragraph" w:styleId="Heading7">
    <w:uiPriority w:val="9"/>
    <w:name w:val="heading 7"/>
    <w:basedOn w:val="Normal"/>
    <w:next w:val="Normal"/>
    <w:semiHidden/>
    <w:unhideWhenUsed/>
    <w:link w:val="Heading7Char"/>
    <w:qFormat/>
    <w:rsid w:val="4AEADA42"/>
    <w:rPr>
      <w:rFonts w:eastAsia="ＭＳ ゴシック" w:cs="" w:asciiTheme="majorAscii" w:hAnsiTheme="majorAscii" w:eastAsiaTheme="majorEastAsia" w:cstheme="majorBidi"/>
      <w:i w:val="1"/>
      <w:iCs w:val="1"/>
      <w:color w:val="404040" w:themeColor="text1" w:themeTint="BF" w:themeShade="FF"/>
    </w:rPr>
    <w:pPr>
      <w:keepNext w:val="1"/>
      <w:keepLines w:val="1"/>
      <w:spacing w:before="200" w:after="0"/>
      <w:outlineLvl w:val="6"/>
    </w:pPr>
  </w:style>
  <w:style w:type="paragraph" w:styleId="Heading8">
    <w:uiPriority w:val="9"/>
    <w:name w:val="heading 8"/>
    <w:basedOn w:val="Normal"/>
    <w:next w:val="Normal"/>
    <w:semiHidden/>
    <w:unhideWhenUsed/>
    <w:link w:val="Heading8Char"/>
    <w:qFormat/>
    <w:rsid w:val="4AEADA42"/>
    <w:rPr>
      <w:rFonts w:eastAsia="ＭＳ ゴシック" w:cs="" w:asciiTheme="majorAscii" w:hAnsiTheme="majorAscii" w:eastAsiaTheme="majorEastAsia" w:cstheme="majorBidi"/>
      <w:color w:val="4F81BD" w:themeColor="accent1" w:themeTint="FF" w:themeShade="FF"/>
      <w:sz w:val="20"/>
      <w:szCs w:val="20"/>
    </w:rPr>
    <w:pPr>
      <w:keepNext w:val="1"/>
      <w:keepLines w:val="1"/>
      <w:spacing w:before="200" w:after="0"/>
      <w:outlineLvl w:val="7"/>
    </w:pPr>
  </w:style>
  <w:style w:type="paragraph" w:styleId="Heading9">
    <w:uiPriority w:val="9"/>
    <w:name w:val="heading 9"/>
    <w:basedOn w:val="Normal"/>
    <w:next w:val="Normal"/>
    <w:semiHidden/>
    <w:unhideWhenUsed/>
    <w:link w:val="Heading9Char"/>
    <w:qFormat/>
    <w:rsid w:val="4AEADA42"/>
    <w:rPr>
      <w:rFonts w:eastAsia="ＭＳ ゴシック" w:cs="" w:asciiTheme="majorAscii" w:hAnsiTheme="majorAscii" w:eastAsiaTheme="majorEastAsia" w:cstheme="majorBidi"/>
      <w:i w:val="1"/>
      <w:iCs w:val="1"/>
      <w:color w:val="404040" w:themeColor="text1" w:themeTint="BF" w:themeShade="FF"/>
      <w:sz w:val="20"/>
      <w:szCs w:val="20"/>
    </w:rPr>
    <w:pPr>
      <w:keepNext w:val="1"/>
      <w:keepLines w:val="1"/>
      <w:spacing w:before="200" w:after="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uiPriority w:val="10"/>
    <w:name w:val="Title"/>
    <w:basedOn w:val="Normal"/>
    <w:next w:val="Normal"/>
    <w:link w:val="TitleChar"/>
    <w:qFormat/>
    <w:rsid w:val="4AEADA42"/>
    <w:rPr>
      <w:rFonts w:eastAsia="ＭＳ ゴシック" w:cs="" w:asciiTheme="majorAscii" w:hAnsiTheme="majorAscii" w:eastAsiaTheme="majorEastAsia" w:cstheme="majorBidi"/>
      <w:color w:val="17365D" w:themeColor="text2" w:themeTint="FF" w:themeShade="BF"/>
      <w:sz w:val="52"/>
      <w:szCs w:val="52"/>
    </w:rPr>
    <w:pPr>
      <w:pBdr>
        <w:bottom w:val="single" w:color="4F81BD" w:themeColor="accent1" w:sz="8" w:space="4"/>
      </w:pBdr>
      <w:spacing w:after="300"/>
      <w:contextualSpacing/>
    </w:p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uiPriority w:val="11"/>
    <w:name w:val="Subtitle"/>
    <w:basedOn w:val="Normal"/>
    <w:next w:val="Normal"/>
    <w:link w:val="SubtitleChar"/>
    <w:qFormat/>
    <w:rsid w:val="4AEADA42"/>
    <w:rPr>
      <w:rFonts w:eastAsia="ＭＳ ゴシック" w:cs="" w:asciiTheme="majorAscii" w:hAnsiTheme="majorAscii" w:eastAsiaTheme="majorEastAsia" w:cstheme="majorBidi"/>
      <w:i w:val="1"/>
      <w:iCs w:val="1"/>
      <w:color w:val="4F81BD" w:themeColor="accent1" w:themeTint="FF" w:themeShade="FF"/>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uiPriority w:val="34"/>
    <w:name w:val="List Paragraph"/>
    <w:basedOn w:val="Normal"/>
    <w:qFormat/>
    <w:rsid w:val="4AEADA42"/>
    <w:pPr>
      <w:spacing/>
      <w:ind w:left="720"/>
      <w:contextualSpacing/>
    </w:pPr>
  </w:style>
  <w:style w:type="paragraph" w:styleId="BodyText">
    <w:uiPriority w:val="99"/>
    <w:name w:val="Body Text"/>
    <w:basedOn w:val="Normal"/>
    <w:unhideWhenUsed/>
    <w:link w:val="BodyTextChar"/>
    <w:rsid w:val="4AEADA42"/>
  </w:style>
  <w:style w:type="character" w:styleId="BodyTextChar" w:customStyle="1">
    <w:name w:val="Body Text Char"/>
    <w:basedOn w:val="DefaultParagraphFont"/>
    <w:link w:val="BodyText"/>
    <w:uiPriority w:val="99"/>
    <w:rsid w:val="00AA1D8D"/>
  </w:style>
  <w:style w:type="paragraph" w:styleId="BodyText2">
    <w:uiPriority w:val="99"/>
    <w:name w:val="Body Text 2"/>
    <w:basedOn w:val="Normal"/>
    <w:unhideWhenUsed/>
    <w:link w:val="BodyText2Char"/>
    <w:rsid w:val="4AEADA42"/>
  </w:style>
  <w:style w:type="character" w:styleId="BodyText2Char" w:customStyle="1">
    <w:name w:val="Body Text 2 Char"/>
    <w:basedOn w:val="DefaultParagraphFont"/>
    <w:link w:val="BodyText2"/>
    <w:uiPriority w:val="99"/>
    <w:rsid w:val="00AA1D8D"/>
  </w:style>
  <w:style w:type="paragraph" w:styleId="BodyText3">
    <w:uiPriority w:val="99"/>
    <w:name w:val="Body Text 3"/>
    <w:basedOn w:val="Normal"/>
    <w:unhideWhenUsed/>
    <w:link w:val="BodyText3Char"/>
    <w:rsid w:val="4AEADA42"/>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uiPriority w:val="99"/>
    <w:name w:val="List"/>
    <w:basedOn w:val="Normal"/>
    <w:unhideWhenUsed/>
    <w:rsid w:val="4AEADA42"/>
    <w:pPr>
      <w:spacing/>
      <w:ind w:left="360" w:hanging="360"/>
      <w:contextualSpacing/>
    </w:pPr>
  </w:style>
  <w:style w:type="paragraph" w:styleId="List2">
    <w:uiPriority w:val="99"/>
    <w:name w:val="List 2"/>
    <w:basedOn w:val="Normal"/>
    <w:unhideWhenUsed/>
    <w:rsid w:val="4AEADA42"/>
    <w:pPr>
      <w:spacing/>
      <w:ind w:left="720" w:hanging="360"/>
      <w:contextualSpacing/>
    </w:pPr>
  </w:style>
  <w:style w:type="paragraph" w:styleId="List3">
    <w:uiPriority w:val="99"/>
    <w:name w:val="List 3"/>
    <w:basedOn w:val="Normal"/>
    <w:unhideWhenUsed/>
    <w:rsid w:val="4AEADA42"/>
    <w:pPr>
      <w:spacing/>
      <w:ind w:left="1080" w:hanging="360"/>
      <w:contextualSpacing/>
    </w:pPr>
  </w:style>
  <w:style w:type="paragraph" w:styleId="ListBullet">
    <w:uiPriority w:val="99"/>
    <w:name w:val="List Bullet"/>
    <w:basedOn w:val="Normal"/>
    <w:unhideWhenUsed/>
    <w:rsid w:val="4AEADA42"/>
    <w:pPr>
      <w:numPr>
        <w:numId w:val="1"/>
      </w:numPr>
      <w:spacing/>
      <w:contextualSpacing/>
    </w:pPr>
  </w:style>
  <w:style w:type="paragraph" w:styleId="ListBullet2">
    <w:uiPriority w:val="99"/>
    <w:name w:val="List Bullet 2"/>
    <w:basedOn w:val="Normal"/>
    <w:unhideWhenUsed/>
    <w:rsid w:val="4AEADA42"/>
    <w:pPr>
      <w:numPr>
        <w:numId w:val="2"/>
      </w:numPr>
      <w:spacing/>
      <w:contextualSpacing/>
    </w:pPr>
  </w:style>
  <w:style w:type="paragraph" w:styleId="ListBullet3">
    <w:uiPriority w:val="99"/>
    <w:name w:val="List Bullet 3"/>
    <w:basedOn w:val="Normal"/>
    <w:unhideWhenUsed/>
    <w:rsid w:val="4AEADA42"/>
    <w:pPr>
      <w:numPr>
        <w:numId w:val="3"/>
      </w:numPr>
      <w:spacing/>
      <w:contextualSpacing/>
    </w:pPr>
  </w:style>
  <w:style w:type="paragraph" w:styleId="ListNumber">
    <w:uiPriority w:val="99"/>
    <w:name w:val="List Number"/>
    <w:basedOn w:val="Normal"/>
    <w:unhideWhenUsed/>
    <w:rsid w:val="4AEADA42"/>
    <w:pPr>
      <w:numPr>
        <w:numId w:val="5"/>
      </w:numPr>
      <w:spacing/>
      <w:contextualSpacing/>
    </w:pPr>
  </w:style>
  <w:style w:type="paragraph" w:styleId="ListNumber2">
    <w:uiPriority w:val="99"/>
    <w:name w:val="List Number 2"/>
    <w:basedOn w:val="Normal"/>
    <w:unhideWhenUsed/>
    <w:rsid w:val="4AEADA42"/>
    <w:pPr>
      <w:numPr>
        <w:numId w:val="6"/>
      </w:numPr>
      <w:spacing/>
      <w:contextualSpacing/>
    </w:pPr>
  </w:style>
  <w:style w:type="paragraph" w:styleId="ListNumber3">
    <w:uiPriority w:val="99"/>
    <w:name w:val="List Number 3"/>
    <w:basedOn w:val="Normal"/>
    <w:unhideWhenUsed/>
    <w:rsid w:val="4AEADA42"/>
    <w:pPr>
      <w:numPr>
        <w:numId w:val="7"/>
      </w:numPr>
      <w:spacing/>
      <w:contextualSpacing/>
    </w:pPr>
  </w:style>
  <w:style w:type="paragraph" w:styleId="ListContinue">
    <w:uiPriority w:val="99"/>
    <w:name w:val="List Continue"/>
    <w:basedOn w:val="Normal"/>
    <w:unhideWhenUsed/>
    <w:rsid w:val="4AEADA42"/>
    <w:pPr>
      <w:spacing/>
      <w:ind w:left="360"/>
      <w:contextualSpacing/>
    </w:pPr>
  </w:style>
  <w:style w:type="paragraph" w:styleId="ListContinue2">
    <w:uiPriority w:val="99"/>
    <w:name w:val="List Continue 2"/>
    <w:basedOn w:val="Normal"/>
    <w:unhideWhenUsed/>
    <w:rsid w:val="4AEADA42"/>
    <w:pPr>
      <w:spacing/>
      <w:ind w:left="720"/>
      <w:contextualSpacing/>
    </w:pPr>
  </w:style>
  <w:style w:type="paragraph" w:styleId="ListContinue3">
    <w:uiPriority w:val="99"/>
    <w:name w:val="List Continue 3"/>
    <w:basedOn w:val="Normal"/>
    <w:unhideWhenUsed/>
    <w:rsid w:val="4AEADA42"/>
    <w:pPr>
      <w:spacing/>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uiPriority w:val="29"/>
    <w:name w:val="Quote"/>
    <w:basedOn w:val="Normal"/>
    <w:next w:val="Normal"/>
    <w:link w:val="QuoteChar"/>
    <w:qFormat/>
    <w:rsid w:val="4AEADA42"/>
    <w:rPr>
      <w:i w:val="1"/>
      <w:iCs w:val="1"/>
      <w:color w:val="000000" w:themeColor="text1" w:themeTint="FF" w:themeShade="FF"/>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uiPriority w:val="35"/>
    <w:name w:val="caption"/>
    <w:basedOn w:val="Normal"/>
    <w:next w:val="Normal"/>
    <w:semiHidden/>
    <w:unhideWhenUsed/>
    <w:qFormat/>
    <w:rsid w:val="4AEADA42"/>
    <w:rPr>
      <w:b w:val="1"/>
      <w:bCs w:val="1"/>
      <w:color w:val="4F81BD" w:themeColor="accent1" w:themeTint="FF" w:themeShade="FF"/>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uiPriority w:val="30"/>
    <w:name w:val="Intense Quote"/>
    <w:basedOn w:val="Normal"/>
    <w:next w:val="Normal"/>
    <w:link w:val="IntenseQuoteChar"/>
    <w:qFormat/>
    <w:rsid w:val="4AEADA42"/>
    <w:rPr>
      <w:b w:val="1"/>
      <w:bCs w:val="1"/>
      <w:i w:val="1"/>
      <w:iCs w:val="1"/>
      <w:color w:val="4F81BD" w:themeColor="accent1" w:themeTint="FF" w:themeShade="FF"/>
    </w:rPr>
    <w:pPr>
      <w:pBdr>
        <w:bottom w:val="single" w:color="4F81BD" w:themeColor="accent1" w:sz="4" w:space="4"/>
      </w:pBdr>
      <w:spacing w:before="200" w:after="280"/>
      <w:ind w:left="936" w:right="936"/>
    </w:p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Heidi Deleu</lastModifiedBy>
  <revision>4</revision>
  <dcterms:created xsi:type="dcterms:W3CDTF">2013-12-23T23:15:00.0000000Z</dcterms:created>
  <dcterms:modified xsi:type="dcterms:W3CDTF">2026-02-22T19:06:14.3563482Z</dcterms:modified>
  <category/>
</coreProperties>
</file>