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D97" w:rsidRDefault="005311C6" w14:paraId="1292891D" w14:textId="77777777">
      <w:pPr>
        <w:pStyle w:val="Heading1"/>
      </w:pPr>
      <w:r>
        <w:t>THEMATISCH BEZWAARSCHRIFT GEZONDHEID &amp; ELEKTROMAGNETISCHE VELDEN</w:t>
      </w:r>
    </w:p>
    <w:p w:rsidR="00EA5D97" w:rsidRDefault="005311C6" w14:paraId="3B297612" w14:textId="77777777">
      <w:pPr>
        <w:pStyle w:val="Heading2"/>
      </w:pPr>
      <w:r>
        <w:t>Ventilus 380kV hoogspanningsverbinding Gezelle-Izegem</w:t>
      </w:r>
    </w:p>
    <w:p w:rsidR="00EA5D97" w:rsidRDefault="005311C6" w14:paraId="7FB282D9" w14:textId="77777777">
      <w:pPr>
        <w:pStyle w:val="Heading2"/>
      </w:pPr>
      <w:r>
        <w:t>OMV 2025025781 — Elia Asset NV</w:t>
      </w:r>
    </w:p>
    <w:p w:rsidR="00EA5D97" w:rsidRDefault="00EA5D97" w14:paraId="672A6659" w14:textId="77777777">
      <w:pPr>
        <w:pBdr>
          <w:bottom w:val="single" w:color="CCCCCC" w:sz="6" w:space="1"/>
        </w:pBdr>
        <w:spacing w:before="240" w:after="240"/>
      </w:pPr>
    </w:p>
    <w:p w:rsidR="00EA5D97" w:rsidRDefault="005311C6" w14:paraId="592B1137" w14:textId="77777777">
      <w:r>
        <w:rPr>
          <w:b/>
        </w:rPr>
        <w:t>Aan:</w:t>
      </w:r>
      <w:r>
        <w:t xml:space="preserve"> De bevoegde vergunningverlenende overheid</w:t>
      </w:r>
    </w:p>
    <w:p w:rsidR="00EA5D97" w:rsidRDefault="005311C6" w14:paraId="53326C74" w14:textId="77777777">
      <w:r w:rsidRPr="5E63F0C0" w:rsidR="678000CA">
        <w:rPr>
          <w:b w:val="1"/>
          <w:bCs w:val="1"/>
        </w:rPr>
        <w:t>Betreft:</w:t>
      </w:r>
      <w:r w:rsidR="678000CA">
        <w:rPr/>
        <w:t xml:space="preserve"> Thematisch bezwaarschrift inzake de discipline Gezondheid en Elektromagnetische Velden (EMF) tegen de omgevingsvergunningsaanvraag OMV 2025025781</w:t>
      </w:r>
    </w:p>
    <w:p w:rsidR="00EA5D97" w:rsidRDefault="00EA5D97" w14:paraId="0A37501D" w14:textId="77777777">
      <w:pPr>
        <w:pBdr>
          <w:bottom w:val="single" w:color="CCCCCC" w:sz="6" w:space="1"/>
        </w:pBdr>
        <w:spacing w:before="240" w:after="240"/>
      </w:pPr>
    </w:p>
    <w:p w:rsidR="00EA5D97" w:rsidRDefault="005311C6" w14:paraId="226B36AF" w14:textId="77777777">
      <w:pPr>
        <w:pStyle w:val="Heading2"/>
      </w:pPr>
      <w:r>
        <w:t>1. VERWIJZING NAAR HET GENERIEK BEZWAARSCHRIFT</w:t>
      </w:r>
    </w:p>
    <w:p w:rsidR="00EA5D97" w:rsidRDefault="005311C6" w14:paraId="16DB9B93" w14:textId="77777777">
      <w:r>
        <w:t xml:space="preserve">Het onderhavige bezwaarschrift is een </w:t>
      </w:r>
      <w:r>
        <w:rPr>
          <w:b/>
        </w:rPr>
        <w:t>thematische verdieping</w:t>
      </w:r>
      <w:r>
        <w:t xml:space="preserve"> van het generiek bezwaarschrift dat gelijktijdig door ondergetekende is ingediend tegen dezelfde omgevingsvergunningsaanvraag (OMV 2025025781). Ondergetekende verwijst uitdrukkelijk naar dat generiek bezwaarschrift voor wat betreft:</w:t>
      </w:r>
    </w:p>
    <w:p w:rsidR="00EA5D97" w:rsidRDefault="6DFAE6B3" w14:paraId="1098A880" w14:textId="73D330E9">
      <w:pPr>
        <w:pStyle w:val="ListBullet"/>
        <w:spacing w:after="60"/>
        <w:ind w:left="720"/>
      </w:pPr>
      <w:r>
        <w:t xml:space="preserve">de formele bezwaren </w:t>
      </w:r>
    </w:p>
    <w:p w:rsidR="00EA5D97" w:rsidRDefault="005311C6" w14:paraId="59DFF455" w14:textId="77777777">
      <w:pPr>
        <w:pStyle w:val="ListBullet"/>
        <w:spacing w:after="60"/>
        <w:ind w:left="720"/>
      </w:pPr>
      <w:r>
        <w:t>de procedurele bezwaren (sectie 3: ontbrekend alternatieven-onderzoek, saucissonnering, Aarhus-schending, onuitvoerbaarheid, aangevochten GRUP);</w:t>
      </w:r>
    </w:p>
    <w:p w:rsidR="00EA5D97" w:rsidRDefault="005311C6" w14:paraId="7E0F7DDB" w14:textId="77777777">
      <w:pPr>
        <w:pStyle w:val="ListBullet"/>
        <w:spacing w:after="60"/>
        <w:ind w:left="720"/>
      </w:pPr>
      <w:r>
        <w:t>de systematische gebreken in het MER (sectie 4: niet-bindende milderende maatregelen, effectscores systematisch te laag, voorzorgsbeginsel niet toegepast);</w:t>
      </w:r>
    </w:p>
    <w:p w:rsidR="00EA5D97" w:rsidRDefault="005311C6" w14:paraId="3A9317DC" w14:textId="77777777">
      <w:pPr>
        <w:pStyle w:val="ListBullet"/>
        <w:spacing w:after="60"/>
        <w:ind w:left="720"/>
      </w:pPr>
      <w:r>
        <w:t>de adviezen die de bezwaren bevestigen (sectie 6).</w:t>
      </w:r>
    </w:p>
    <w:p w:rsidR="00EA5D97" w:rsidRDefault="005311C6" w14:paraId="07402CF0" w14:textId="77777777">
      <w:r>
        <w:t>Al deze gebreken zijn integraal van toepassing op de discipline Gezondheid/EMF en worden hier niet herhaald, doch als herhaald en ingelast beschouwd.</w:t>
      </w:r>
    </w:p>
    <w:p w:rsidR="00EA5D97" w:rsidRDefault="005311C6" w14:paraId="49BD20B6" w14:textId="77777777">
      <w:r>
        <w:t xml:space="preserve">Het huidig bezwaarschrift verdiept de analyse van de </w:t>
      </w:r>
      <w:r>
        <w:rPr>
          <w:b/>
        </w:rPr>
        <w:t>specifieke tekortkomingen</w:t>
      </w:r>
      <w:r>
        <w:t xml:space="preserve"> inzake de beoordeling van elektromagnetische velden en hun mogelijke gezondheidseffecten, zoals beschreven in Hoofdstuk 13 van het project-MER Ventilus v4 (discipline Mens-Gezondheid, opgesteld door Antea Group, vrijgave 28 januari 2026), de Brief EMF van het Departement Omgeving (kenmerk CONELF-56, 21 augustus 2025) en de bijbehorende EMF-contourkaarten.</w:t>
      </w:r>
    </w:p>
    <w:p w:rsidR="00EA5D97" w:rsidRDefault="00EA5D97" w14:paraId="5DAB6C7B" w14:textId="77777777">
      <w:pPr>
        <w:pBdr>
          <w:bottom w:val="single" w:color="CCCCCC" w:sz="6" w:space="1"/>
        </w:pBdr>
        <w:spacing w:before="240" w:after="240"/>
      </w:pPr>
    </w:p>
    <w:p w:rsidR="00EA5D97" w:rsidRDefault="005311C6" w14:paraId="41F33921" w14:textId="77777777">
      <w:pPr>
        <w:pStyle w:val="Heading2"/>
      </w:pPr>
      <w:r>
        <w:t>2. ONTBREKENDE EFFECTSCORE VOOR EMF — MEEST FLAGRANTE OMISSIE IN HET MER</w:t>
      </w:r>
    </w:p>
    <w:p w:rsidR="00EA5D97" w:rsidRDefault="005311C6" w14:paraId="210F9958" w14:textId="77777777">
      <w:pPr>
        <w:pStyle w:val="Heading3"/>
      </w:pPr>
      <w:r>
        <w:t>2.1 Vaststelling</w:t>
      </w:r>
    </w:p>
    <w:p w:rsidR="00EA5D97" w:rsidRDefault="005311C6" w14:paraId="2DE57A29" w14:textId="77777777">
      <w:r>
        <w:t>Het project-MER Ventilus hanteert voor alle stressoren een gestructureerd effectscoringsysteem op een schaal van -3 (aanzienlijk negatief) tot +3 (aanzienlijk positief). Geluid, luchtkwaliteit, lichtimmissie, bodem, water, biodiversiteit, landschap en mens-ruimtelijke aspecten worden allen volgens dit systeem beoordeeld.</w:t>
      </w:r>
    </w:p>
    <w:p w:rsidR="00EA5D97" w:rsidRDefault="005311C6" w14:paraId="65927C49" w14:textId="77777777">
      <w:r>
        <w:t>Voor elektromagnetische velden maakt het MER echter een expliciete uitzondering:</w:t>
      </w:r>
    </w:p>
    <w:p w:rsidR="00EA5D97" w:rsidRDefault="005311C6" w14:paraId="6E7E2403" w14:textId="77777777">
      <w:pPr>
        <w:pBdr>
          <w:left w:val="single" w:color="999999" w:sz="12" w:space="8"/>
        </w:pBdr>
        <w:spacing w:before="120"/>
        <w:ind w:left="850"/>
      </w:pPr>
      <w:r>
        <w:rPr>
          <w:i/>
          <w:color w:val="444444"/>
        </w:rPr>
        <w:t>"De omvang van de mogelijke invloed door magnetische velden zal kwantitatief weergegeven worden aan de hand van de veldcontour 0,4 uT en de hierin berekende aantal nieuwe gevoelige gebouwen en onbebouwde woonpercelen. Voor de beoordeling zal geen score toegekend worden." (MER Hfst 13, p. 13-20)</w:t>
      </w:r>
    </w:p>
    <w:p w:rsidR="00EA5D97" w:rsidRDefault="005311C6" w14:paraId="247D2FB5" w14:textId="77777777">
      <w:r>
        <w:t xml:space="preserve">Het resultaat is dat </w:t>
      </w:r>
      <w:r>
        <w:rPr>
          <w:b/>
        </w:rPr>
        <w:t>170 nieuwe woningen</w:t>
      </w:r>
      <w:r>
        <w:t xml:space="preserve"> die binnen de 0,4 uT jaargemiddelde magnetische veldcontour komen te liggen, geen formele effectscore ontvangen. De verdeling is als volgt:</w:t>
      </w:r>
    </w:p>
    <w:tbl>
      <w:tblPr>
        <w:tblStyle w:val="TableGrid"/>
        <w:tblW w:w="0" w:type="auto"/>
        <w:tblLook w:val="04A0" w:firstRow="1" w:lastRow="0" w:firstColumn="1" w:lastColumn="0" w:noHBand="0" w:noVBand="1"/>
      </w:tblPr>
      <w:tblGrid>
        <w:gridCol w:w="4703"/>
        <w:gridCol w:w="4703"/>
      </w:tblGrid>
      <w:tr w:rsidR="00EA5D97" w14:paraId="040F38B0" w14:textId="77777777">
        <w:tc>
          <w:tcPr>
            <w:tcW w:w="4703" w:type="dxa"/>
            <w:shd w:val="clear" w:color="auto" w:fill="244061" w:themeFill="accent1" w:themeFillShade="80"/>
          </w:tcPr>
          <w:p w:rsidR="00EA5D97" w:rsidRDefault="005311C6" w14:paraId="2EE3EEB4" w14:textId="77777777">
            <w:pPr>
              <w:spacing w:before="40" w:after="40"/>
            </w:pPr>
            <w:r>
              <w:rPr>
                <w:b/>
                <w:color w:val="FFFFFF"/>
                <w:sz w:val="19"/>
              </w:rPr>
              <w:t>Zone</w:t>
            </w:r>
          </w:p>
        </w:tc>
        <w:tc>
          <w:tcPr>
            <w:tcW w:w="4703" w:type="dxa"/>
            <w:shd w:val="clear" w:color="auto" w:fill="244061" w:themeFill="accent1" w:themeFillShade="80"/>
          </w:tcPr>
          <w:p w:rsidR="00EA5D97" w:rsidRDefault="005311C6" w14:paraId="5451883C" w14:textId="77777777">
            <w:pPr>
              <w:spacing w:before="40" w:after="40"/>
            </w:pPr>
            <w:r>
              <w:rPr>
                <w:b/>
                <w:color w:val="FFFFFF"/>
                <w:sz w:val="19"/>
              </w:rPr>
              <w:t>Nieuwe woningen</w:t>
            </w:r>
          </w:p>
        </w:tc>
      </w:tr>
      <w:tr w:rsidR="00EA5D97" w14:paraId="783EEE16" w14:textId="77777777">
        <w:tc>
          <w:tcPr>
            <w:tcW w:w="4703" w:type="dxa"/>
            <w:shd w:val="clear" w:color="auto" w:fill="F2F6FC"/>
          </w:tcPr>
          <w:p w:rsidR="00EA5D97" w:rsidRDefault="005311C6" w14:paraId="2D158FCE" w14:textId="77777777">
            <w:pPr>
              <w:spacing w:before="40" w:after="40"/>
            </w:pPr>
            <w:r>
              <w:rPr>
                <w:sz w:val="19"/>
              </w:rPr>
              <w:t>Waggelwater-Zedelgem (EV209)</w:t>
            </w:r>
          </w:p>
        </w:tc>
        <w:tc>
          <w:tcPr>
            <w:tcW w:w="4703" w:type="dxa"/>
            <w:shd w:val="clear" w:color="auto" w:fill="F2F6FC"/>
          </w:tcPr>
          <w:p w:rsidR="00EA5D97" w:rsidRDefault="005311C6" w14:paraId="60E7A8A8" w14:textId="77777777">
            <w:pPr>
              <w:spacing w:before="40" w:after="40"/>
            </w:pPr>
            <w:r>
              <w:rPr>
                <w:sz w:val="19"/>
              </w:rPr>
              <w:t>58</w:t>
            </w:r>
          </w:p>
        </w:tc>
      </w:tr>
      <w:tr w:rsidR="00EA5D97" w14:paraId="5B155C59" w14:textId="77777777">
        <w:tc>
          <w:tcPr>
            <w:tcW w:w="4703" w:type="dxa"/>
          </w:tcPr>
          <w:p w:rsidR="00EA5D97" w:rsidRDefault="005311C6" w14:paraId="7C678D42" w14:textId="77777777">
            <w:pPr>
              <w:spacing w:before="40" w:after="40"/>
            </w:pPr>
            <w:r>
              <w:rPr>
                <w:sz w:val="19"/>
              </w:rPr>
              <w:t>Langs E403 (NWL215)</w:t>
            </w:r>
          </w:p>
        </w:tc>
        <w:tc>
          <w:tcPr>
            <w:tcW w:w="4703" w:type="dxa"/>
          </w:tcPr>
          <w:p w:rsidR="00EA5D97" w:rsidRDefault="005311C6" w14:paraId="224139B5" w14:textId="77777777">
            <w:pPr>
              <w:spacing w:before="40" w:after="40"/>
            </w:pPr>
            <w:r>
              <w:rPr>
                <w:sz w:val="19"/>
              </w:rPr>
              <w:t>68</w:t>
            </w:r>
          </w:p>
        </w:tc>
      </w:tr>
      <w:tr w:rsidR="00EA5D97" w14:paraId="691F0A84" w14:textId="77777777">
        <w:tc>
          <w:tcPr>
            <w:tcW w:w="4703" w:type="dxa"/>
            <w:shd w:val="clear" w:color="auto" w:fill="F2F6FC"/>
          </w:tcPr>
          <w:p w:rsidR="00EA5D97" w:rsidRDefault="005311C6" w14:paraId="1A105B96" w14:textId="77777777">
            <w:pPr>
              <w:spacing w:before="40" w:after="40"/>
            </w:pPr>
            <w:r>
              <w:rPr>
                <w:sz w:val="19"/>
              </w:rPr>
              <w:t>E403-HS Izegem (NWL215)</w:t>
            </w:r>
          </w:p>
        </w:tc>
        <w:tc>
          <w:tcPr>
            <w:tcW w:w="4703" w:type="dxa"/>
            <w:shd w:val="clear" w:color="auto" w:fill="F2F6FC"/>
          </w:tcPr>
          <w:p w:rsidR="00EA5D97" w:rsidRDefault="005311C6" w14:paraId="75697EEC" w14:textId="77777777">
            <w:pPr>
              <w:spacing w:before="40" w:after="40"/>
            </w:pPr>
            <w:r>
              <w:rPr>
                <w:sz w:val="19"/>
              </w:rPr>
              <w:t>7</w:t>
            </w:r>
          </w:p>
        </w:tc>
      </w:tr>
      <w:tr w:rsidR="00EA5D97" w14:paraId="760168B7" w14:textId="77777777">
        <w:tc>
          <w:tcPr>
            <w:tcW w:w="4703" w:type="dxa"/>
          </w:tcPr>
          <w:p w:rsidR="00EA5D97" w:rsidRDefault="005311C6" w14:paraId="4591BC99" w14:textId="77777777">
            <w:pPr>
              <w:spacing w:before="40" w:after="40"/>
            </w:pPr>
            <w:r>
              <w:rPr>
                <w:sz w:val="19"/>
              </w:rPr>
              <w:t>Izegem-Avelgem (IW227)</w:t>
            </w:r>
          </w:p>
        </w:tc>
        <w:tc>
          <w:tcPr>
            <w:tcW w:w="4703" w:type="dxa"/>
          </w:tcPr>
          <w:p w:rsidR="00EA5D97" w:rsidRDefault="005311C6" w14:paraId="3848D7E0" w14:textId="77777777">
            <w:pPr>
              <w:spacing w:before="40" w:after="40"/>
            </w:pPr>
            <w:r>
              <w:rPr>
                <w:sz w:val="19"/>
              </w:rPr>
              <w:t>34</w:t>
            </w:r>
          </w:p>
        </w:tc>
      </w:tr>
      <w:tr w:rsidR="00EA5D97" w14:paraId="363249AA" w14:textId="77777777">
        <w:tc>
          <w:tcPr>
            <w:tcW w:w="4703" w:type="dxa"/>
            <w:shd w:val="clear" w:color="auto" w:fill="F2F6FC"/>
          </w:tcPr>
          <w:p w:rsidR="00EA5D97" w:rsidRDefault="005311C6" w14:paraId="5EBF6B67" w14:textId="77777777">
            <w:pPr>
              <w:spacing w:before="40" w:after="40"/>
            </w:pPr>
            <w:r>
              <w:rPr>
                <w:sz w:val="19"/>
              </w:rPr>
              <w:t>Gezelle-Waggelwater (NWL216)</w:t>
            </w:r>
          </w:p>
        </w:tc>
        <w:tc>
          <w:tcPr>
            <w:tcW w:w="4703" w:type="dxa"/>
            <w:shd w:val="clear" w:color="auto" w:fill="F2F6FC"/>
          </w:tcPr>
          <w:p w:rsidR="00EA5D97" w:rsidRDefault="005311C6" w14:paraId="467E3AEE" w14:textId="77777777">
            <w:pPr>
              <w:spacing w:before="40" w:after="40"/>
            </w:pPr>
            <w:r>
              <w:rPr>
                <w:sz w:val="19"/>
              </w:rPr>
              <w:t>-2 (verbetering)</w:t>
            </w:r>
          </w:p>
        </w:tc>
      </w:tr>
      <w:tr w:rsidR="00EA5D97" w14:paraId="0ABAF13D" w14:textId="77777777">
        <w:tc>
          <w:tcPr>
            <w:tcW w:w="4703" w:type="dxa"/>
          </w:tcPr>
          <w:p w:rsidR="00EA5D97" w:rsidRDefault="005311C6" w14:paraId="36A3CA0B" w14:textId="77777777">
            <w:pPr>
              <w:spacing w:before="40" w:after="40"/>
            </w:pPr>
            <w:r>
              <w:rPr>
                <w:sz w:val="19"/>
              </w:rPr>
              <w:t>Ondergrondse verbinding Zedelgem</w:t>
            </w:r>
          </w:p>
        </w:tc>
        <w:tc>
          <w:tcPr>
            <w:tcW w:w="4703" w:type="dxa"/>
          </w:tcPr>
          <w:p w:rsidR="00EA5D97" w:rsidRDefault="005311C6" w14:paraId="649841BE" w14:textId="77777777">
            <w:pPr>
              <w:spacing w:before="40" w:after="40"/>
            </w:pPr>
            <w:r>
              <w:rPr>
                <w:sz w:val="19"/>
              </w:rPr>
              <w:t>1</w:t>
            </w:r>
          </w:p>
        </w:tc>
      </w:tr>
      <w:tr w:rsidR="00EA5D97" w14:paraId="431CD09F" w14:textId="77777777">
        <w:tc>
          <w:tcPr>
            <w:tcW w:w="4703" w:type="dxa"/>
            <w:shd w:val="clear" w:color="auto" w:fill="F2F6FC"/>
          </w:tcPr>
          <w:p w:rsidR="00EA5D97" w:rsidRDefault="005311C6" w14:paraId="26FA6045" w14:textId="77777777">
            <w:pPr>
              <w:spacing w:before="40" w:after="40"/>
            </w:pPr>
            <w:r>
              <w:rPr>
                <w:sz w:val="19"/>
              </w:rPr>
              <w:t>Opstijgpunt De Mol</w:t>
            </w:r>
          </w:p>
        </w:tc>
        <w:tc>
          <w:tcPr>
            <w:tcW w:w="4703" w:type="dxa"/>
            <w:shd w:val="clear" w:color="auto" w:fill="F2F6FC"/>
          </w:tcPr>
          <w:p w:rsidR="00EA5D97" w:rsidRDefault="005311C6" w14:paraId="18F999B5" w14:textId="77777777">
            <w:pPr>
              <w:spacing w:before="40" w:after="40"/>
            </w:pPr>
            <w:r>
              <w:rPr>
                <w:sz w:val="19"/>
              </w:rPr>
              <w:t>2</w:t>
            </w:r>
          </w:p>
        </w:tc>
      </w:tr>
      <w:tr w:rsidR="00EA5D97" w14:paraId="3336C01F" w14:textId="77777777">
        <w:tc>
          <w:tcPr>
            <w:tcW w:w="4703" w:type="dxa"/>
          </w:tcPr>
          <w:p w:rsidR="00EA5D97" w:rsidRDefault="005311C6" w14:paraId="132E07DC" w14:textId="77777777">
            <w:pPr>
              <w:spacing w:before="40" w:after="40"/>
            </w:pPr>
            <w:r>
              <w:rPr>
                <w:b/>
                <w:sz w:val="19"/>
              </w:rPr>
              <w:t>Nettototaal</w:t>
            </w:r>
          </w:p>
        </w:tc>
        <w:tc>
          <w:tcPr>
            <w:tcW w:w="4703" w:type="dxa"/>
          </w:tcPr>
          <w:p w:rsidR="00EA5D97" w:rsidRDefault="005311C6" w14:paraId="3EF324C1" w14:textId="77777777">
            <w:pPr>
              <w:spacing w:before="40" w:after="40"/>
            </w:pPr>
            <w:r>
              <w:rPr>
                <w:b/>
                <w:sz w:val="19"/>
              </w:rPr>
              <w:t>~170</w:t>
            </w:r>
          </w:p>
        </w:tc>
      </w:tr>
    </w:tbl>
    <w:p w:rsidR="00EA5D97" w:rsidRDefault="00EA5D97" w14:paraId="02EB378F" w14:textId="77777777"/>
    <w:p w:rsidR="0D4F21B4" w:rsidRDefault="0D4F21B4" w14:paraId="18E55913" w14:textId="548DA71E">
      <w:r>
        <w:t>Die 170 nieuwe woningen zijn zelfs een onderschatting daar voor de zone Izegem-Avelgem in de referentiesituatie reeds rekening gehouden werd met 30 % belasting van de bestaande lijn, iets wat in de praktijk zelfs niet kan gelet op het ontbreken van ee</w:t>
      </w:r>
      <w:r w:rsidR="403C7B08">
        <w:t xml:space="preserve">n transfo hiervoor (zie verder). </w:t>
      </w:r>
    </w:p>
    <w:p w:rsidR="00EA5D97" w:rsidRDefault="005311C6" w14:paraId="4CBEF0BA" w14:textId="77777777">
      <w:r>
        <w:t xml:space="preserve">Daarnaast bevinden zich </w:t>
      </w:r>
      <w:r>
        <w:rPr>
          <w:b/>
        </w:rPr>
        <w:t>13 onbebouwde bouwpercelen</w:t>
      </w:r>
      <w:r>
        <w:t xml:space="preserve"> in de nieuwe contour. Het MER erkent zelf dat per perceel </w:t>
      </w:r>
      <w:r>
        <w:rPr>
          <w:i/>
        </w:rPr>
        <w:t>"mogelijks meerdere (tientallen) woningen kunnen gerealiseerd worden"</w:t>
      </w:r>
      <w:r>
        <w:t xml:space="preserve"> (MER, p. 13-31). De werkelijke toekomstige blootstelling kan derhalve een veelvoud zijn van de gerapporteerde 170 woningen en potentieel oplopen tot honderden.</w:t>
      </w:r>
    </w:p>
    <w:p w:rsidR="00EA5D97" w:rsidRDefault="005311C6" w14:paraId="19EE427E" w14:textId="77777777">
      <w:r>
        <w:t xml:space="preserve">Twee </w:t>
      </w:r>
      <w:r>
        <w:rPr>
          <w:b/>
        </w:rPr>
        <w:t>kinderopvangvoorzieningen</w:t>
      </w:r>
      <w:r>
        <w:t xml:space="preserve"> te Lendelede bevinden zich reeds in de bestaande 0,4 uT contour van verbinding IW227 en blijven daarin.</w:t>
      </w:r>
    </w:p>
    <w:p w:rsidR="00EA5D97" w:rsidRDefault="005311C6" w14:paraId="15238DD7" w14:textId="77777777">
      <w:pPr>
        <w:pStyle w:val="Heading3"/>
      </w:pPr>
      <w:r>
        <w:t>2.2 Juridische beoordeling</w:t>
      </w:r>
    </w:p>
    <w:p w:rsidR="00EA5D97" w:rsidRDefault="005311C6" w14:paraId="2BAF0B6B" w14:textId="77777777">
      <w:r>
        <w:t>Het ontbreken van een effectscore voor EMF is onverenigbaar met de wettelijke vereisten voor een milieueffectenrapport:</w:t>
      </w:r>
    </w:p>
    <w:p w:rsidR="00EA5D97" w:rsidRDefault="005311C6" w14:paraId="10F51009" w14:textId="77777777">
      <w:r>
        <w:rPr>
          <w:b/>
        </w:rPr>
        <w:t>(a) Schending artikel 4.3.7 DABM.</w:t>
      </w:r>
      <w:r>
        <w:t xml:space="preserve"> Het Decreet Algemene Bepalingen Milieubeleid bepaalt dat een MER de effecten op de gezondheid van de mens moet beschrijven, beoordelen en vergelijken. Een beschrijving zonder beoordeling is onvolledig. Door als enige discipline geen effectscore toe te kennen aan EMF, maakt het MER het voor de vergunningverlenende overheid onmogelijk om de gezondheidseffecten af te wegen tegen de andere milieueffecten.</w:t>
      </w:r>
    </w:p>
    <w:p w:rsidR="00EA5D97" w:rsidRDefault="005311C6" w14:paraId="29685520" w14:textId="77777777">
      <w:r>
        <w:rPr>
          <w:b/>
        </w:rPr>
        <w:t>(b) Schending MER-richtlijn 2014/52/EU, artikel 3, lid 1(c).</w:t>
      </w:r>
      <w:r>
        <w:t xml:space="preserve"> De Europese MER-richtlijn vereist een beoordeling van de effecten op "de bevolking en de menselijke gezondheid." Een kwantitatieve beschrijving (170 woningen) zonder kwalitatieve beoordeling (effectscore) voldoet niet aan deze verplichting.</w:t>
      </w:r>
    </w:p>
    <w:p w:rsidR="00EA5D97" w:rsidRDefault="0EBEC655" w14:paraId="3384166D" w14:textId="07248BC7">
      <w:r w:rsidRPr="0EBEC655">
        <w:rPr>
          <w:b/>
          <w:bCs/>
        </w:rPr>
        <w:t>(c) Schending van de motiveringsplicht.</w:t>
      </w:r>
      <w:r>
        <w:t xml:space="preserve"> Een vergunningenbesluit dat steunt op een MER waarin het ernstigste potentiële gezondheidseffect niet is beoordeeld, is onvoldoende gemotiveerd in de zin van de Wet Motivering Bestuurshandelingen en de beginselen van behoorlijk bestuur.</w:t>
      </w:r>
    </w:p>
    <w:p w:rsidR="00EA5D97" w:rsidRDefault="005311C6" w14:paraId="4FA505F9" w14:textId="77777777">
      <w:r>
        <w:t xml:space="preserve">De paradox is schrijnend: een toename van geluidsniveau met 1 dB(A) levert in het MER een effectscore van -1 op, terwijl het blootstellen van 170 woningen aan een door het IARC als "mogelijk kankerverwekkend" (Groep 2B) geclassificeerde stressor </w:t>
      </w:r>
      <w:r>
        <w:rPr>
          <w:b/>
        </w:rPr>
        <w:t>geen enkele score</w:t>
      </w:r>
      <w:r>
        <w:t xml:space="preserve"> oplevert. Dit gebrek alleen al maakt het MER ongeschikt als basis voor de gevraagde vergunning.</w:t>
      </w:r>
    </w:p>
    <w:p w:rsidR="00EA5D97" w:rsidRDefault="005311C6" w14:paraId="20A28D26" w14:textId="77777777">
      <w:pPr>
        <w:pStyle w:val="Heading3"/>
      </w:pPr>
      <w:r>
        <w:t>2.3 IARC-classificatie niet expliciet vermeld</w:t>
      </w:r>
    </w:p>
    <w:p w:rsidR="00EA5D97" w:rsidRDefault="005311C6" w14:paraId="54DBB335" w14:textId="77777777">
      <w:r>
        <w:t xml:space="preserve">Het MER vermeldt nergens expliciet dat het International Agency for Research on Cancer (IARC) extreem laagfrequente magnetische velden in 2002 heeft geclassificeerd als </w:t>
      </w:r>
      <w:r>
        <w:rPr>
          <w:b/>
        </w:rPr>
        <w:t>Groep 2B: "mogelijk kankerverwekkend voor de mens"</w:t>
      </w:r>
      <w:r>
        <w:t>. Deze classificatie vormt nochtans de wetenschappelijke basis voor het gehele Vlaamse en Europese beleidskader inzake EMF en hoogspanningslijnen. Het weglaten van deze classificatie uit het MER is misleidend en maakt het voor de lezer onmogelijk om de ernst van de gezondheidseffecten correct in te schatten.</w:t>
      </w:r>
    </w:p>
    <w:p w:rsidR="00EA5D97" w:rsidRDefault="00EA5D97" w14:paraId="6A05A809" w14:textId="77777777">
      <w:pPr>
        <w:pBdr>
          <w:bottom w:val="single" w:color="CCCCCC" w:sz="6" w:space="1"/>
        </w:pBdr>
        <w:spacing w:before="240" w:after="240"/>
      </w:pPr>
    </w:p>
    <w:p w:rsidR="00EA5D97" w:rsidRDefault="005311C6" w14:paraId="31A52A2B" w14:textId="77777777">
      <w:pPr>
        <w:pStyle w:val="Heading2"/>
      </w:pPr>
      <w:r>
        <w:t>3. VOORZORGSBEGINSEL NIET TOEGEPAST</w:t>
      </w:r>
    </w:p>
    <w:p w:rsidR="00EA5D97" w:rsidRDefault="005311C6" w14:paraId="1FCBAA61" w14:textId="77777777">
      <w:pPr>
        <w:pStyle w:val="Heading3"/>
      </w:pPr>
      <w:r>
        <w:t>3.1 Juridisch kader</w:t>
      </w:r>
    </w:p>
    <w:p w:rsidR="00EA5D97" w:rsidRDefault="005311C6" w14:paraId="3E4452FC" w14:textId="77777777">
      <w:r>
        <w:t>Het voorzorgsbeginsel is verankerd in:</w:t>
      </w:r>
    </w:p>
    <w:p w:rsidR="00EA5D97" w:rsidRDefault="005311C6" w14:paraId="0683AFE6" w14:textId="77777777">
      <w:pPr>
        <w:pStyle w:val="ListBullet"/>
        <w:spacing w:after="60"/>
        <w:ind w:left="720"/>
      </w:pPr>
      <w:r>
        <w:rPr>
          <w:b/>
        </w:rPr>
        <w:t>Artikel 191 lid 2 VWEU</w:t>
      </w:r>
      <w:r>
        <w:t>: het milieubeleid van de Unie berust op het voorzorgsbeginsel en het beginsel van preventief handelen;</w:t>
      </w:r>
    </w:p>
    <w:p w:rsidR="00EA5D97" w:rsidRDefault="005311C6" w14:paraId="6A79D32B" w14:textId="77777777">
      <w:pPr>
        <w:pStyle w:val="ListBullet"/>
        <w:spacing w:after="60"/>
        <w:ind w:left="720"/>
      </w:pPr>
      <w:r>
        <w:rPr>
          <w:b/>
        </w:rPr>
        <w:t>Artikel 1.2.1 par. 2 DABM</w:t>
      </w:r>
      <w:r>
        <w:t xml:space="preserve"> (standstill-beginsel): het milieubeleid kan niet leiden tot een achteruitgang van het bestaande beschermingsniveau;</w:t>
      </w:r>
    </w:p>
    <w:p w:rsidR="00EA5D97" w:rsidRDefault="005311C6" w14:paraId="63402F1E" w14:textId="77777777">
      <w:pPr>
        <w:pStyle w:val="ListBullet"/>
        <w:spacing w:after="60"/>
        <w:ind w:left="720"/>
      </w:pPr>
      <w:r>
        <w:rPr>
          <w:b/>
        </w:rPr>
        <w:t>HvJ-EU, arrest Waddenzee (C-127/02)</w:t>
      </w:r>
      <w:r>
        <w:t>: bij wetenschappelijke twijfel over de afwezigheid van schadelijke effecten kan niet worden geconcludeerd dat er "geen significant negatief effect" is;</w:t>
      </w:r>
    </w:p>
    <w:p w:rsidR="00EA5D97" w:rsidRDefault="005311C6" w14:paraId="27A07FAB" w14:textId="77777777">
      <w:pPr>
        <w:pStyle w:val="ListBullet"/>
        <w:spacing w:after="60"/>
        <w:ind w:left="720"/>
      </w:pPr>
      <w:r>
        <w:rPr>
          <w:b/>
        </w:rPr>
        <w:t>RvVb-A-2223-0977</w:t>
      </w:r>
      <w:r>
        <w:t xml:space="preserve"> (Oostkamp): de Raad voor Vergunningsbetwistingen heeft bevestigd dat geen onomstotelijk bewijs vereist is opdat de overheid passende actie moet ondernemen;</w:t>
      </w:r>
    </w:p>
    <w:p w:rsidR="00EA5D97" w:rsidRDefault="005311C6" w14:paraId="7470E69C" w14:textId="77777777">
      <w:pPr>
        <w:pStyle w:val="ListBullet"/>
        <w:spacing w:after="60"/>
        <w:ind w:left="720"/>
      </w:pPr>
      <w:r>
        <w:rPr>
          <w:b/>
        </w:rPr>
        <w:t>Hoge Gezondheidsraad advies 9432 (2020)</w:t>
      </w:r>
      <w:r>
        <w:t>: advies inzake het voorzorgsbeleid voor ELF-EMF.</w:t>
      </w:r>
    </w:p>
    <w:p w:rsidR="00EA5D97" w:rsidRDefault="005311C6" w14:paraId="1DC92BA2" w14:textId="77777777">
      <w:pPr>
        <w:pStyle w:val="Heading3"/>
      </w:pPr>
      <w:r>
        <w:t>3.2 Toepassing op het Ventilus-project</w:t>
      </w:r>
    </w:p>
    <w:p w:rsidR="00EA5D97" w:rsidRDefault="005311C6" w14:paraId="1ADA966F" w14:textId="77777777">
      <w:r>
        <w:t xml:space="preserve">Het MER erkent het statistisch verband tussen chronische blootstelling aan magnetische velden &gt;0,4 uT en kinderleukemie. Het herhaalt echter minstens viermaal de formulering: </w:t>
      </w:r>
      <w:r>
        <w:rPr>
          <w:i/>
        </w:rPr>
        <w:t>"Het gaat om een statistisch verband, dat wil nog niet zeggen dat magnetische velden de oorzaak zijn"</w:t>
      </w:r>
      <w:r>
        <w:t xml:space="preserve"> (MER, p. 13-4, 13-24, 13-32, 13-33).</w:t>
      </w:r>
    </w:p>
    <w:p w:rsidR="00EA5D97" w:rsidRDefault="005311C6" w14:paraId="19AD6667" w14:textId="77777777">
      <w:r>
        <w:t xml:space="preserve">Precies deze wetenschappelijke onzekerheid over de causaliteit is de </w:t>
      </w:r>
      <w:r>
        <w:rPr>
          <w:b/>
        </w:rPr>
        <w:t>kern van het voorzorgsbeginsel</w:t>
      </w:r>
      <w:r>
        <w:t>: wanneer er aanwijzingen zijn voor een ernstig gezondheidsrisico maar het oorzakelijk verband niet is bewezen, verplicht het voorzorgsbeginsel de overheid om beschermende maatregelen te nemen. Het MER doet het tegenovergestelde: het gebruikt de afwezigheid van bewezen causaliteit als rechtvaardiging om geen effectscore toe te kennen en geen bindende maatregelen te treffen.</w:t>
      </w:r>
    </w:p>
    <w:p w:rsidR="00EA5D97" w:rsidRDefault="005311C6" w14:paraId="2CA08E80" w14:textId="77777777">
      <w:r>
        <w:t xml:space="preserve">Dit is juridisch onhoudbaar. Het HvJ-EU oordeelde in de Waddenzee-zaak (C-127/02, r.o. 44) dat de vergunningverlenende overheid </w:t>
      </w:r>
      <w:r>
        <w:rPr>
          <w:i/>
        </w:rPr>
        <w:t>"slechts toestemming mag verlenen indien zij de zekerheid heeft verkregen dat de activiteit geen schadelijke gevolgen heeft."</w:t>
      </w:r>
      <w:r>
        <w:t xml:space="preserve"> De bewijslast rust op de initiatiefnemer, niet op de bezwaarmaker. Die zekerheid is hier niet verkregen.</w:t>
      </w:r>
    </w:p>
    <w:p w:rsidR="00EA5D97" w:rsidRDefault="005311C6" w14:paraId="51EDA2DF" w14:textId="77777777">
      <w:r>
        <w:t>De gemeente Oostkamp, bijgestaan door advocatenkantoor Cygnus, vat het kernachtig samen:</w:t>
      </w:r>
    </w:p>
    <w:p w:rsidR="00EA5D97" w:rsidRDefault="005311C6" w14:paraId="741EB29A" w14:textId="77777777">
      <w:pPr>
        <w:pBdr>
          <w:left w:val="single" w:color="999999" w:sz="12" w:space="8"/>
        </w:pBdr>
        <w:spacing w:before="120"/>
        <w:ind w:left="850"/>
      </w:pPr>
      <w:r>
        <w:rPr>
          <w:i/>
          <w:color w:val="444444"/>
        </w:rPr>
        <w:t>"De RvVb heeft reeds bevestigd dat er geen onomstotelijk bewijs moet zijn op schadelijke effecten opdat de overheid passende actie moet ondernomen." (Advies Oostkamp, RvVb-A-2223-0977)</w:t>
      </w:r>
    </w:p>
    <w:p w:rsidR="00EA5D97" w:rsidRDefault="005311C6" w14:paraId="2F120AE1" w14:textId="77777777">
      <w:pPr>
        <w:pStyle w:val="Heading3"/>
      </w:pPr>
      <w:r>
        <w:t>3.3 Standstill-beginsel geschonden</w:t>
      </w:r>
    </w:p>
    <w:p w:rsidR="00EA5D97" w:rsidRDefault="0EBEC655" w14:paraId="4E256BF7" w14:textId="4EA0440E">
      <w:r>
        <w:t>Het standstill-beginsel (art. 1.2.1 par. 2 DABM) verbiedt dat het bestaande beschermingsniveau achteruitgaat. Het project brengt</w:t>
      </w:r>
      <w:r w:rsidR="0CA137F2">
        <w:t xml:space="preserve"> minstens</w:t>
      </w:r>
      <w:r>
        <w:t xml:space="preserve"> 170 </w:t>
      </w:r>
      <w:r w:rsidRPr="0EBEC655">
        <w:rPr>
          <w:b/>
          <w:bCs/>
        </w:rPr>
        <w:t>nieuwe</w:t>
      </w:r>
      <w:r>
        <w:t xml:space="preserve"> woningen binnen de 0,4 uT contour. Dit is een meetbare achteruitgang van het beschermingsniveau ten opzichte van de referentiesituatie. </w:t>
      </w:r>
    </w:p>
    <w:p w:rsidR="00EA5D97" w:rsidRDefault="005311C6" w14:paraId="422D25E9" w14:textId="77777777">
      <w:pPr>
        <w:pStyle w:val="Heading3"/>
      </w:pPr>
      <w:r>
        <w:t>3.4 EMF op fauna: erkende kennislacune zonder voorzorgsmaatregel</w:t>
      </w:r>
    </w:p>
    <w:p w:rsidR="00EA5D97" w:rsidRDefault="005311C6" w14:paraId="51962034" w14:textId="77777777">
      <w:r>
        <w:t xml:space="preserve">Het MER erkent tevens dat de effecten van EMF op fauna en flora </w:t>
      </w:r>
      <w:r>
        <w:rPr>
          <w:i/>
        </w:rPr>
        <w:t>"als een leemte in de kennis dienen beschouwd te worden"</w:t>
      </w:r>
      <w:r>
        <w:t xml:space="preserve"> (MER Hfst 10, p. 10-142 en p. 10-246). Het MER documenteert dat 250+ wetenschappelijke studies geen consensus opleveren: evenveel studies vinden negatieve effecten als geen effecten. Desondanks wordt in de effectbeoordeling geen score toegekend voor EMF op fauna en wordt geen voorzorgsmaatregel voorgesteld. Dit is een bijkomende schending van het voorzorgsbeginsel, ditmaal inzake de discipline Biodiversiteit.</w:t>
      </w:r>
    </w:p>
    <w:p w:rsidR="00EA5D97" w:rsidRDefault="00EA5D97" w14:paraId="5A39BBE3" w14:textId="77777777">
      <w:pPr>
        <w:pBdr>
          <w:bottom w:val="single" w:color="CCCCCC" w:sz="6" w:space="1"/>
        </w:pBdr>
        <w:spacing w:before="240" w:after="240"/>
      </w:pPr>
    </w:p>
    <w:p w:rsidR="00EA5D97" w:rsidRDefault="005311C6" w14:paraId="21216E00" w14:textId="77777777">
      <w:pPr>
        <w:pStyle w:val="Heading2"/>
      </w:pPr>
      <w:r>
        <w:t>4. BELASTINGSFACTOR ONDERSCHAT — 30% IS GEEN WORST-CASE</w:t>
      </w:r>
    </w:p>
    <w:p w:rsidR="00EA5D97" w:rsidRDefault="005311C6" w14:paraId="3A6045EF" w14:textId="77777777">
      <w:pPr>
        <w:pStyle w:val="Heading3"/>
      </w:pPr>
      <w:r>
        <w:t>4.1 Gehanteerde belastingsfactor</w:t>
      </w:r>
    </w:p>
    <w:p w:rsidR="00EA5D97" w:rsidRDefault="005311C6" w14:paraId="03A52E20" w14:textId="77777777">
      <w:r>
        <w:t xml:space="preserve">Het MER berekent de 0,4 uT contour bij een jaargemiddelde belastingsfactor van </w:t>
      </w:r>
      <w:r>
        <w:rPr>
          <w:b/>
        </w:rPr>
        <w:t>30%</w:t>
      </w:r>
      <w:r>
        <w:t xml:space="preserve"> van de ontwerpcapaciteit (6 GW). Het presenteert dit als een "overschatting" ten opzichte van de berekende waarden van 25,8% (7 GW-scenario) en 28,5% (8 GW-scenario) (MER, p. 13-11).</w:t>
      </w:r>
    </w:p>
    <w:p w:rsidR="00EA5D97" w:rsidRDefault="005311C6" w14:paraId="708BE7AB" w14:textId="77777777">
      <w:pPr>
        <w:pStyle w:val="Heading3"/>
      </w:pPr>
      <w:r>
        <w:t>4.2 Waarom 30% geen worst-case is</w:t>
      </w:r>
    </w:p>
    <w:p w:rsidR="00EA5D97" w:rsidRDefault="005311C6" w14:paraId="0894B942" w14:textId="77777777">
      <w:r>
        <w:t xml:space="preserve">De belastingsfactor van 30% is in werkelijkheid geen conservatieve maar een </w:t>
      </w:r>
      <w:r>
        <w:rPr>
          <w:b/>
        </w:rPr>
        <w:t>best-estimate</w:t>
      </w:r>
      <w:r>
        <w:t xml:space="preserve"> aanname, om de volgende redenen:</w:t>
      </w:r>
    </w:p>
    <w:p w:rsidR="00EA5D97" w:rsidRDefault="005311C6" w14:paraId="26E10A97" w14:textId="77777777">
      <w:r>
        <w:rPr>
          <w:b/>
        </w:rPr>
        <w:t>(a) Verdubbeling capaciteit.</w:t>
      </w:r>
      <w:r>
        <w:t xml:space="preserve"> De capaciteit van de Ventilus-verbinding bedraagt 6 GW, een verdubbeling ten opzichte van de huidige 3 GW. Het MER veronderstelt dat deze verdubbelde capaciteit slechts voor 30% zal worden benut. Dit is gebaseerd op Elia's eigen modelleringen voor toekomstige energiescenario's, niet op werkelijke metingen.</w:t>
      </w:r>
    </w:p>
    <w:p w:rsidR="00EA5D97" w:rsidRDefault="0EBEC655" w14:paraId="7239AF45" w14:textId="38C39A5C">
      <w:r w:rsidRPr="0EBEC655">
        <w:rPr>
          <w:b/>
          <w:bCs/>
        </w:rPr>
        <w:t>(b) Energie</w:t>
      </w:r>
      <w:r w:rsidRPr="0EBEC655" w:rsidR="3F5691FF">
        <w:rPr>
          <w:b/>
          <w:bCs/>
        </w:rPr>
        <w:t>-</w:t>
      </w:r>
      <w:r w:rsidRPr="0EBEC655">
        <w:rPr>
          <w:b/>
          <w:bCs/>
        </w:rPr>
        <w:t>eiland Prinses Elisabeth.</w:t>
      </w:r>
      <w:r>
        <w:t xml:space="preserve"> De aansluiting van het Energie</w:t>
      </w:r>
      <w:r w:rsidR="7A1DEF95">
        <w:t>-</w:t>
      </w:r>
      <w:r>
        <w:t xml:space="preserve">eiland Prinses Elisabeth in de Noordzee zal de belasting van de Ventilus-verbinding aanzienlijk verhogen. De gemeente Harelbeke wijst in haar ongunstig advies op basis van publieke uitlatingen van Elia op een verwachte belasting van </w:t>
      </w:r>
      <w:r w:rsidRPr="0EBEC655">
        <w:rPr>
          <w:b/>
          <w:bCs/>
        </w:rPr>
        <w:t>80 tot 90%</w:t>
      </w:r>
      <w:r>
        <w:t xml:space="preserve"> bij Harelbeke, als knooppunt richting binnenland. Het MER gaat hieraan voorbij.</w:t>
      </w:r>
    </w:p>
    <w:p w:rsidR="00EA5D97" w:rsidRDefault="005311C6" w14:paraId="4422FC9C" w14:textId="77777777">
      <w:r>
        <w:rPr>
          <w:b/>
        </w:rPr>
        <w:t>(c) Incidenten tot 100% belasting.</w:t>
      </w:r>
      <w:r>
        <w:t xml:space="preserve"> Het MER erkent zelf dat bij incidenten belastingen tot </w:t>
      </w:r>
      <w:r>
        <w:rPr>
          <w:b/>
        </w:rPr>
        <w:t>100%</w:t>
      </w:r>
      <w:r>
        <w:t xml:space="preserve"> mogelijk zijn, maar sluit deze uit van de jaargemiddelde berekening. Het begrip "jaargemiddelde" maskeert dat er perioden van piekbelasting kunnen zijn waarin de werkelijke EMF-blootstelling de berekende contouren ver overschrijdt.</w:t>
      </w:r>
    </w:p>
    <w:p w:rsidR="00EA5D97" w:rsidRDefault="0EBEC655" w14:paraId="692A187A" w14:textId="06BDF190">
      <w:r w:rsidRPr="0EBEC655">
        <w:rPr>
          <w:b/>
          <w:bCs/>
        </w:rPr>
        <w:t>(d) Elektrificatie.</w:t>
      </w:r>
      <w:r>
        <w:t xml:space="preserve"> Het MER erkent expliciet dat </w:t>
      </w:r>
      <w:r w:rsidRPr="0EBEC655">
        <w:rPr>
          <w:i/>
          <w:iCs/>
        </w:rPr>
        <w:t>"de snelheid waarmee de elektrificatie zal verlopen nog ongekend is"</w:t>
      </w:r>
      <w:r>
        <w:t xml:space="preserve"> (MER, p. 13-11), maar erkent tegelijkertijd dat de belasting </w:t>
      </w:r>
      <w:r w:rsidRPr="0EBEC655">
        <w:rPr>
          <w:i/>
          <w:iCs/>
        </w:rPr>
        <w:t>"op korte termijn zal stijgen."</w:t>
      </w:r>
      <w:r>
        <w:t xml:space="preserve"> Een stijgende trend bij een ongekende snelheid rechtvaardigt geen </w:t>
      </w:r>
      <w:r w:rsidR="4FD637F0">
        <w:t>belasting aanname</w:t>
      </w:r>
      <w:r>
        <w:t xml:space="preserve"> die als "overschatting" wordt gepresenteerd.</w:t>
      </w:r>
    </w:p>
    <w:p w:rsidR="00EA5D97" w:rsidRDefault="005311C6" w14:paraId="503ADA99" w14:textId="77777777">
      <w:r>
        <w:rPr>
          <w:b/>
        </w:rPr>
        <w:t>(e) Kabeldoorhang niet in EMF-berekening.</w:t>
      </w:r>
      <w:r>
        <w:t xml:space="preserve"> De EMF-contour is het breedst ter hoogte van het middelpunt tussen twee masten, waar de geleiders het diepst doorzakken (kabeldoorhang). Bij de gemeente Lendelede is gewezen op het feit dat de kabeldoorhang niet correct in de berekening is meegenomen.</w:t>
      </w:r>
    </w:p>
    <w:p w:rsidR="00EA5D97" w:rsidRDefault="005311C6" w14:paraId="39D2FD7B" w14:textId="77777777">
      <w:pPr>
        <w:pStyle w:val="Heading3"/>
      </w:pPr>
      <w:r>
        <w:t>4.3 Ontbrekende gevoeligheidsanalyse</w:t>
      </w:r>
    </w:p>
    <w:p w:rsidR="00EA5D97" w:rsidRDefault="0EBEC655" w14:paraId="7EC3D730" w14:textId="44FD7634">
      <w:r>
        <w:t xml:space="preserve">Het MER bevat geen gevoeligheidsanalyse voor hogere belastingsscenario's. Er is niet berekend hoeveel </w:t>
      </w:r>
      <w:r w:rsidRPr="0EBEC655">
        <w:rPr>
          <w:b/>
          <w:bCs/>
        </w:rPr>
        <w:t>extra woningen</w:t>
      </w:r>
      <w:r>
        <w:t xml:space="preserve"> in de 0,4 uT contour zouden vallen bij belastingsfactoren van 40%, 50%, 80% of 100%. Dit is een fundamenteel gebrek voor een MER dat pretendeert het voorzorgsbeginsel te respecteren.</w:t>
      </w:r>
      <w:r w:rsidR="0A7C4E4B">
        <w:t xml:space="preserve"> Dit werd door de burgergroepen tijdens de overleggen met de intendant echter herhaaldelijk gevraagd. </w:t>
      </w:r>
    </w:p>
    <w:p w:rsidR="00EA5D97" w:rsidRDefault="005311C6" w14:paraId="6EFA4488" w14:textId="77777777">
      <w:pPr>
        <w:pStyle w:val="Heading3"/>
      </w:pPr>
      <w:r>
        <w:t>4.4 Geen vergelijking AMS versus HTLS</w:t>
      </w:r>
    </w:p>
    <w:p w:rsidR="00EA5D97" w:rsidRDefault="0EBEC655" w14:paraId="2BF6811A" w14:textId="77777777">
      <w:r>
        <w:t>Het MER maakt wel een onderscheid tussen AMS-geleiders (nieuwbouwmasten) en HTLS-geleiders (herbenutting bestaande masten), maar vergelijkt nergens de EMF-contouren van beide geleidertypes bij gelijke belasting. De keuze voor HTLS bij herbenutting heeft directe gevolgen voor de breedte van de EMF-contour, doch deze gevolgen worden niet in kaart gebracht. Een vergelijkende analyse van de EMF-impact bij AMS versus HTLS had deel moeten uitmaken van het alternatieven-onderzoek.</w:t>
      </w:r>
    </w:p>
    <w:p w:rsidR="00EA5D97" w:rsidRDefault="0EBEC655" w14:paraId="62A207DE" w14:textId="2D69808E">
      <w:pPr>
        <w:pStyle w:val="Heading3"/>
      </w:pPr>
      <w:r>
        <w:t>4.</w:t>
      </w:r>
      <w:r w:rsidR="1CEE97A7">
        <w:t>5</w:t>
      </w:r>
      <w:r>
        <w:t xml:space="preserve"> Rekenmodel EMF gevalideerd op slechts 3 locaties gedurende enkele minuten</w:t>
      </w:r>
    </w:p>
    <w:p w:rsidR="00EA5D97" w:rsidRDefault="0EBEC655" w14:paraId="4BAD26A6" w14:textId="04D2E912">
      <w:r>
        <w:t xml:space="preserve">Het rekenmodel dat aan de basis ligt van alle 0,4 uT contourkaarten in het MER — en derhalve van de gehele kwantitatieve gezondheidseffectbeoordeling — is slechts gevalideerd door middel van veldmetingen op </w:t>
      </w:r>
      <w:r w:rsidRPr="0EBEC655">
        <w:rPr>
          <w:b/>
          <w:bCs/>
        </w:rPr>
        <w:t>3 meetlocaties</w:t>
      </w:r>
      <w:r>
        <w:t xml:space="preserve">, uitgevoerd gedurende een periode van </w:t>
      </w:r>
      <w:r w:rsidRPr="0EBEC655">
        <w:rPr>
          <w:b/>
          <w:bCs/>
        </w:rPr>
        <w:t>enkele minuten</w:t>
      </w:r>
      <w:r>
        <w:t xml:space="preserve"> per locatie</w:t>
      </w:r>
      <w:r w:rsidR="1700B60A">
        <w:t>.</w:t>
      </w:r>
    </w:p>
    <w:p w:rsidR="1700B60A" w:rsidRDefault="1700B60A" w14:paraId="21C16940" w14:textId="1336DEB2">
      <w:r>
        <w:t xml:space="preserve">Zie </w:t>
      </w:r>
      <w:hyperlink r:id="rId5">
        <w:r w:rsidRPr="0EBEC655">
          <w:rPr>
            <w:rStyle w:val="Hyperlink"/>
          </w:rPr>
          <w:t>https://archief.algemeen.omgeving.vlaanderen.be/xmlui/bitstream/handle/acd/928122/06072023_Rapport_Validatie_ELF_model.pdf</w:t>
        </w:r>
      </w:hyperlink>
      <w:r>
        <w:t xml:space="preserve"> </w:t>
      </w:r>
    </w:p>
    <w:p w:rsidR="00EA5D97" w:rsidRDefault="005311C6" w14:paraId="6EEBBE63" w14:textId="77777777">
      <w:r>
        <w:t>Dit is technisch onvoldoende om de volgende redenen:</w:t>
      </w:r>
    </w:p>
    <w:p w:rsidR="00EA5D97" w:rsidRDefault="005311C6" w14:paraId="6B6BE904" w14:textId="77777777">
      <w:r>
        <w:rPr>
          <w:b/>
        </w:rPr>
        <w:t>(a) Ontoereikende ruimtelijke representativiteit.</w:t>
      </w:r>
      <w:r>
        <w:t xml:space="preserve"> Het Ventilus-tracé bestrijkt </w:t>
      </w:r>
      <w:r>
        <w:rPr>
          <w:b/>
        </w:rPr>
        <w:t>82 kilometer</w:t>
      </w:r>
      <w:r>
        <w:t xml:space="preserve"> en doorkruist diverse landschapstypes, bodemstructuren en bebouwingspatronen. Het magnetisch veld wordt beïnvloed door lokale factoren zoals de hoogte van de geleiders (kabeldoorhang, mastverschillen), de nabijheid van andere geleidende structuren, bodemgeleidbaarheid en de configuratie van meervoudige circuits op dezelfde masten. Drie meetlocaties over 82 km vertegenwoordigen een ruimtelijke dekkingsgraad van minder dan 0,01% van het tracé. De contourkaarten pretenderen echter het veld over het </w:t>
      </w:r>
      <w:r>
        <w:rPr>
          <w:b/>
        </w:rPr>
        <w:t>volledige tracé</w:t>
      </w:r>
      <w:r>
        <w:t xml:space="preserve"> weer te geven.</w:t>
      </w:r>
    </w:p>
    <w:p w:rsidR="00EA5D97" w:rsidRDefault="005311C6" w14:paraId="16BC6F52" w14:textId="77777777">
      <w:r>
        <w:rPr>
          <w:b/>
        </w:rPr>
        <w:t>(b) Ontoereikende temporele representativiteit.</w:t>
      </w:r>
      <w:r>
        <w:t xml:space="preserve"> Het magnetisch veld fluctueert continu in functie van de belasting van de verbinding. Een meting van enkele minuten capteert slechts een momentopname en kan per definitie niet representatief zijn voor de jaargemiddelde belasting waarop de 0,4 uT contour is gebaseerd. Het MER hanteert een jaargemiddelde belastingsfactor van 30%, maar de validatiemetingen documenteren niet bij welke belasting zij zijn uitgevoerd, noch of deze belasting representatief is voor het jaargemiddelde.</w:t>
      </w:r>
    </w:p>
    <w:p w:rsidR="00EA5D97" w:rsidRDefault="005311C6" w14:paraId="5ACEF3B0" w14:textId="77777777">
      <w:r>
        <w:rPr>
          <w:b/>
        </w:rPr>
        <w:t>(c) Juridische consequentie.</w:t>
      </w:r>
      <w:r>
        <w:t xml:space="preserve"> Alle beleidsmatige beslissingen die steunen op de 0,4 uT contourkaarten — het aantal getroffen woningen (170), de breedte van de impactzone, de beoordeling door het Departement Omgeving (Brief CONELF-56) — berusten op een model waarvan de empirische validatie statistisch verwaarloosbaar is. Een MER dat de gezondheidseffectbeoordeling baseert op een onvoldoende gevalideerd model voldoet niet aan het zorgvuldigheidsbeginsel en de vereiste van betrouwbare gegevens (art. 4.3.7 DABM).</w:t>
      </w:r>
    </w:p>
    <w:p w:rsidR="005131A6" w:rsidP="005131A6" w:rsidRDefault="0EBEC655" w14:paraId="6D027C0D" w14:textId="504533D9">
      <w:pPr>
        <w:pStyle w:val="Heading3"/>
      </w:pPr>
      <w:r w:rsidRPr="0EBEC655">
        <w:rPr>
          <w:highlight w:val="yellow"/>
        </w:rPr>
        <w:t>4.7</w:t>
      </w:r>
      <w:r w:rsidR="005131A6">
        <w:t xml:space="preserve"> Artificiële referentietoestand — 3e transformator Izegem</w:t>
      </w:r>
    </w:p>
    <w:p w:rsidR="005131A6" w:rsidP="005131A6" w:rsidRDefault="005131A6" w14:paraId="135E0333" w14:textId="77777777">
      <w:r>
        <w:t xml:space="preserve">De </w:t>
      </w:r>
      <w:r>
        <w:rPr>
          <w:b/>
        </w:rPr>
        <w:t>3e transformator</w:t>
      </w:r>
      <w:r>
        <w:t xml:space="preserve"> op het hoogspanningsstation te Izegem is </w:t>
      </w:r>
      <w:r>
        <w:rPr>
          <w:i/>
        </w:rPr>
        <w:t>"enkel en alleen"</w:t>
      </w:r>
      <w:r>
        <w:t xml:space="preserve"> aangelegd voor het Ventilus-project — dit wordt bevestigd door de toelichtingsnota bij de aanvraag. Desondanks wordt deze transformator in het MER </w:t>
      </w:r>
      <w:r>
        <w:rPr>
          <w:b/>
        </w:rPr>
        <w:t>meegerekend in de referentietoestand</w:t>
      </w:r>
      <w:r>
        <w:t xml:space="preserve"> (de bestaande situatie waartegen de effecten van het project worden afgewogen).</w:t>
      </w:r>
    </w:p>
    <w:p w:rsidR="005131A6" w:rsidP="005131A6" w:rsidRDefault="005131A6" w14:paraId="18AD7467" w14:textId="77777777">
      <w:r>
        <w:t xml:space="preserve">Dit creëert een </w:t>
      </w:r>
      <w:r>
        <w:rPr>
          <w:b/>
        </w:rPr>
        <w:t>methodologisch bedrog</w:t>
      </w:r>
      <w:r>
        <w:t>: de effecten van het Ventilus-project worden vergeleken met een referentiesituatie die pas door het Ventilus-project zelf is gecreëerd. De gevolgen zijn ingrijpend:</w:t>
      </w:r>
    </w:p>
    <w:p w:rsidR="005131A6" w:rsidP="005131A6" w:rsidRDefault="005131A6" w14:paraId="515741B9" w14:textId="77777777">
      <w:pPr>
        <w:pStyle w:val="ListBullet"/>
        <w:spacing w:after="60"/>
        <w:ind w:left="720"/>
      </w:pPr>
      <w:r>
        <w:t xml:space="preserve">De </w:t>
      </w:r>
      <w:r>
        <w:rPr>
          <w:b/>
        </w:rPr>
        <w:t>EMF-contourkaarten</w:t>
      </w:r>
      <w:r>
        <w:t xml:space="preserve"> in de zone Izegem tonen een kleiner verschil tussen de referentietoestand en de projectsituatie dan werkelijk het geval is, omdat de referentietoestand reeds de EMF-bijdrage van de 3e transformator bevat.</w:t>
      </w:r>
    </w:p>
    <w:p w:rsidR="005131A6" w:rsidP="005131A6" w:rsidRDefault="005131A6" w14:paraId="1B8139CA" w14:textId="77777777">
      <w:pPr>
        <w:pStyle w:val="ListBullet"/>
        <w:spacing w:after="60"/>
        <w:ind w:left="720"/>
      </w:pPr>
      <w:r>
        <w:t xml:space="preserve">De </w:t>
      </w:r>
      <w:r>
        <w:rPr>
          <w:b/>
        </w:rPr>
        <w:t>geluidsniveaus</w:t>
      </w:r>
      <w:r>
        <w:t xml:space="preserve"> in de referentietoestand zijn reeds verhoogd door de 3e transformator, waardoor het bijkomende geluid van Ventilus kleiner lijkt.</w:t>
      </w:r>
    </w:p>
    <w:p w:rsidR="005131A6" w:rsidP="005131A6" w:rsidRDefault="005131A6" w14:paraId="4792BD38" w14:textId="77777777">
      <w:pPr>
        <w:pStyle w:val="ListBullet"/>
        <w:spacing w:after="60"/>
        <w:ind w:left="720"/>
      </w:pPr>
      <w:r>
        <w:t xml:space="preserve">De </w:t>
      </w:r>
      <w:r>
        <w:rPr>
          <w:b/>
        </w:rPr>
        <w:t>cumulatieve effecten</w:t>
      </w:r>
      <w:r>
        <w:t xml:space="preserve"> worden artificieel verlaagd doordat een projectcomponent als bestaande toestand wordt meegerekend.</w:t>
      </w:r>
    </w:p>
    <w:p w:rsidR="005131A6" w:rsidP="005131A6" w:rsidRDefault="005131A6" w14:paraId="6371E814" w14:textId="77777777">
      <w:r>
        <w:t xml:space="preserve">De correcte methodologische benadering vereist dat de referentietoestand de situatie </w:t>
      </w:r>
      <w:r w:rsidRPr="25A181EA">
        <w:rPr>
          <w:b/>
          <w:bCs/>
        </w:rPr>
        <w:t>zonder</w:t>
      </w:r>
      <w:r>
        <w:t xml:space="preserve"> de 3e transformator als uitgangspunt neemt, aangezien deze transformator geen autonome functie heeft los van het Ventilus-project. Door de 3e transformator in de referentietoestand op te nemen, worden </w:t>
      </w:r>
      <w:r w:rsidRPr="25A181EA">
        <w:rPr>
          <w:b/>
          <w:bCs/>
        </w:rPr>
        <w:t>alle effectberekeningen</w:t>
      </w:r>
      <w:r>
        <w:t xml:space="preserve"> voor de zone Izegem — EMF, geluid, landschap, trillingen — artificieel verlaagd. Dit tast de betrouwbaarheid van het MER voor de volledige zone Izegem aan, maar ook van het GRUP.  </w:t>
      </w:r>
    </w:p>
    <w:p w:rsidR="005131A6" w:rsidP="005131A6" w:rsidRDefault="005131A6" w14:paraId="23E14632" w14:textId="77777777">
      <w:r>
        <w:rPr>
          <w:b/>
        </w:rPr>
        <w:t>Juridische grondslag:</w:t>
      </w:r>
      <w:r>
        <w:t xml:space="preserve"> Art. 4.3.4 DABM (objectiviteit en volledigheid MER); art. 5(1)(a) MER-richtlijn 2014/52/EU (beschrijving van de referentiesituatie). Een referentietoestand die projectcomponenten als bestaande situatie presenteert, is in strijd met de objectiviteitsvereiste.</w:t>
      </w:r>
    </w:p>
    <w:p w:rsidR="00EA5D97" w:rsidP="0EBEC655" w:rsidRDefault="00E26196" w14:paraId="213AD392" w14:textId="2856ADBA">
      <w:pPr>
        <w:pStyle w:val="Heading3"/>
        <w:rPr>
          <w:highlight w:val="yellow"/>
        </w:rPr>
      </w:pPr>
      <w:r>
        <w:rPr>
          <w:highlight w:val="yellow"/>
        </w:rPr>
        <w:t xml:space="preserve">4.8 </w:t>
      </w:r>
      <w:r w:rsidRPr="0EBEC655" w:rsidR="0EBEC655">
        <w:rPr>
          <w:highlight w:val="yellow"/>
        </w:rPr>
        <w:t xml:space="preserve"> Kinderdagverblijf De Mol — ondergronds tracé dichter bij gevoelige bestemming dan bovengronds alternatief</w:t>
      </w:r>
    </w:p>
    <w:p w:rsidR="00EA5D97" w:rsidP="0EBEC655" w:rsidRDefault="0EBEC655" w14:paraId="6D4EAD2F" w14:textId="7250F154">
      <w:pPr>
        <w:rPr>
          <w:highlight w:val="yellow"/>
        </w:rPr>
      </w:pPr>
      <w:r w:rsidRPr="0EBEC655">
        <w:rPr>
          <w:highlight w:val="yellow"/>
        </w:rPr>
        <w:t xml:space="preserve">Een bijzonder schrijnend voorbeeld van de gebrekkige tracéoptimalisatie betreft het </w:t>
      </w:r>
      <w:r w:rsidRPr="0EBEC655">
        <w:rPr>
          <w:b/>
          <w:bCs/>
          <w:highlight w:val="yellow"/>
        </w:rPr>
        <w:t>kinderdagverblijf De Mol te Lendelede</w:t>
      </w:r>
      <w:r w:rsidRPr="0EBEC655">
        <w:rPr>
          <w:highlight w:val="yellow"/>
        </w:rPr>
        <w:t xml:space="preserve">. Bij dit kinderdagverblijf loopt het ondergrondse tracé op slechts </w:t>
      </w:r>
      <w:r w:rsidRPr="0EBEC655">
        <w:rPr>
          <w:b/>
          <w:bCs/>
          <w:highlight w:val="yellow"/>
        </w:rPr>
        <w:t>3 meter van de voorgevel</w:t>
      </w:r>
      <w:r w:rsidRPr="0EBEC655">
        <w:rPr>
          <w:highlight w:val="yellow"/>
        </w:rPr>
        <w:t xml:space="preserve">, terwijl een bundeling van het tracé langs de E403-autosnelweg (bovengronds) het kinderdagverblijf op </w:t>
      </w:r>
      <w:r w:rsidRPr="0EBEC655">
        <w:rPr>
          <w:b/>
          <w:bCs/>
          <w:highlight w:val="yellow"/>
        </w:rPr>
        <w:t>aanzienlijk grotere afstand</w:t>
      </w:r>
      <w:r w:rsidRPr="0EBEC655">
        <w:rPr>
          <w:highlight w:val="yellow"/>
        </w:rPr>
        <w:t xml:space="preserve"> van de verbinding zou plaatsen</w:t>
      </w:r>
      <w:r w:rsidRPr="0EBEC655" w:rsidR="21C3705C">
        <w:rPr>
          <w:highlight w:val="yellow"/>
        </w:rPr>
        <w:t>.</w:t>
      </w:r>
    </w:p>
    <w:p w:rsidR="00EA5D97" w:rsidP="0EBEC655" w:rsidRDefault="0EBEC655" w14:paraId="6080FF4D" w14:textId="77777777">
      <w:pPr>
        <w:rPr>
          <w:highlight w:val="yellow"/>
        </w:rPr>
      </w:pPr>
      <w:r w:rsidRPr="0EBEC655">
        <w:rPr>
          <w:highlight w:val="yellow"/>
        </w:rPr>
        <w:t xml:space="preserve">Dit concrete geval ontmaskert de generaliserende claim in het MER en het beleidsdiscours dat het ondergrondse tracé "beter" zou zijn voor gevoelige bestemmingen. Voor kinderdagverblijf De Mol geldt het </w:t>
      </w:r>
      <w:r w:rsidRPr="0EBEC655">
        <w:rPr>
          <w:b/>
          <w:bCs/>
          <w:highlight w:val="yellow"/>
        </w:rPr>
        <w:t>tegenovergestelde</w:t>
      </w:r>
      <w:r w:rsidRPr="0EBEC655">
        <w:rPr>
          <w:highlight w:val="yellow"/>
        </w:rPr>
        <w:t xml:space="preserve">: de keuze voor ondergrondse aanleg brengt de 380 kV-kabels juist </w:t>
      </w:r>
      <w:r w:rsidRPr="0EBEC655">
        <w:rPr>
          <w:b/>
          <w:bCs/>
          <w:highlight w:val="yellow"/>
        </w:rPr>
        <w:t>dichter</w:t>
      </w:r>
      <w:r w:rsidRPr="0EBEC655">
        <w:rPr>
          <w:highlight w:val="yellow"/>
        </w:rPr>
        <w:t xml:space="preserve"> bij een locatie waar peuters en kleuters dagelijks verblijven.</w:t>
      </w:r>
    </w:p>
    <w:p w:rsidR="00EA5D97" w:rsidP="0EBEC655" w:rsidRDefault="0EBEC655" w14:paraId="72C41CC4" w14:textId="77777777">
      <w:pPr>
        <w:rPr>
          <w:highlight w:val="yellow"/>
        </w:rPr>
      </w:pPr>
      <w:r w:rsidRPr="0EBEC655">
        <w:rPr>
          <w:highlight w:val="yellow"/>
        </w:rPr>
        <w:t>De juridische relevantie van dit voorbeeld is drieledig:</w:t>
      </w:r>
    </w:p>
    <w:p w:rsidR="00EA5D97" w:rsidP="0EBEC655" w:rsidRDefault="0EBEC655" w14:paraId="779818E1" w14:textId="77777777">
      <w:pPr>
        <w:rPr>
          <w:highlight w:val="yellow"/>
        </w:rPr>
      </w:pPr>
      <w:r w:rsidRPr="0EBEC655">
        <w:rPr>
          <w:b/>
          <w:bCs/>
          <w:highlight w:val="yellow"/>
        </w:rPr>
        <w:t>(a) Schending van het voorzorgsbeginsel.</w:t>
      </w:r>
      <w:r w:rsidRPr="0EBEC655">
        <w:rPr>
          <w:highlight w:val="yellow"/>
        </w:rPr>
        <w:t xml:space="preserve"> Kinderen zijn de meest kwetsbare doelgroep voor ELF-EMF-blootstelling (IARC 2B). Een tracékeuze die 380 kV-kabels op 3 meter van een kinderdagverblijf plaatst terwijl een alternatief op grotere afstand beschikbaar is, is onverenigbaar met het voorzorgsbeginsel (art. 191 lid 2 VWEU).</w:t>
      </w:r>
    </w:p>
    <w:p w:rsidR="00EA5D97" w:rsidP="0EBEC655" w:rsidRDefault="0EBEC655" w14:paraId="53966562" w14:textId="77777777">
      <w:pPr>
        <w:rPr>
          <w:highlight w:val="yellow"/>
        </w:rPr>
      </w:pPr>
      <w:r w:rsidRPr="0EBEC655">
        <w:rPr>
          <w:b/>
          <w:bCs/>
          <w:highlight w:val="yellow"/>
        </w:rPr>
        <w:t>(b) Falsificatie van de algemeenheid van de MER-conclusie.</w:t>
      </w:r>
      <w:r w:rsidRPr="0EBEC655">
        <w:rPr>
          <w:highlight w:val="yellow"/>
        </w:rPr>
        <w:t xml:space="preserve"> Het MER pretendeert dat de gekozen combinatie van bovengronds en ondergronds de EMF-blootstelling optimaliseert. Het geval De Mol toont aan dat deze optimalisatie niet op locatieniveau is uitgevoerd.</w:t>
      </w:r>
    </w:p>
    <w:p w:rsidR="00EA5D97" w:rsidP="0EBEC655" w:rsidRDefault="0EBEC655" w14:paraId="323AAA58" w14:textId="77777777">
      <w:pPr>
        <w:rPr>
          <w:highlight w:val="yellow"/>
        </w:rPr>
      </w:pPr>
      <w:r w:rsidRPr="0EBEC655">
        <w:rPr>
          <w:b/>
          <w:bCs/>
          <w:highlight w:val="yellow"/>
        </w:rPr>
        <w:t>(c) Aansluiting bij ANSES-aanbeveling.</w:t>
      </w:r>
      <w:r w:rsidRPr="0EBEC655">
        <w:rPr>
          <w:highlight w:val="yellow"/>
        </w:rPr>
        <w:t xml:space="preserve"> De Franse ANSES beveelt aan geen nieuwe gevoelige bestemmingen nabij hoogspanningslijnen te vestigen. A fortiori geldt dat hoogspanningskabels niet op 3 meter van bestaande kinderdagverblijven mogen worden aangelegd.</w:t>
      </w:r>
    </w:p>
    <w:p w:rsidR="00EA5D97" w:rsidRDefault="00EA5D97" w14:paraId="41C8F396" w14:textId="77777777">
      <w:pPr>
        <w:pBdr>
          <w:bottom w:val="single" w:color="CCCCCC" w:sz="6" w:space="1"/>
        </w:pBdr>
        <w:spacing w:before="240" w:after="240"/>
      </w:pPr>
    </w:p>
    <w:p w:rsidR="00EA5D97" w:rsidRDefault="005311C6" w14:paraId="0EACB612" w14:textId="77777777">
      <w:pPr>
        <w:pStyle w:val="Heading2"/>
      </w:pPr>
      <w:r>
        <w:t>5. VEROUDERDE WETENSCHAPPELIJKE BASIS</w:t>
      </w:r>
    </w:p>
    <w:p w:rsidR="00EA5D97" w:rsidRDefault="005311C6" w14:paraId="29738508" w14:textId="77777777">
      <w:pPr>
        <w:pStyle w:val="Heading3"/>
      </w:pPr>
      <w:r>
        <w:t>5.1 Meest recente referenties gedateerd</w:t>
      </w:r>
    </w:p>
    <w:p w:rsidR="00EA5D97" w:rsidRDefault="005311C6" w14:paraId="6995D2DE" w14:textId="77777777">
      <w:r>
        <w:t>Het MER baseert de gezondheidsrisicobeoordeling op de volgende wetenschappelijke bronnen:</w:t>
      </w:r>
    </w:p>
    <w:tbl>
      <w:tblPr>
        <w:tblStyle w:val="TableGrid"/>
        <w:tblW w:w="0" w:type="auto"/>
        <w:tblLook w:val="04A0" w:firstRow="1" w:lastRow="0" w:firstColumn="1" w:lastColumn="0" w:noHBand="0" w:noVBand="1"/>
      </w:tblPr>
      <w:tblGrid>
        <w:gridCol w:w="3135"/>
        <w:gridCol w:w="3135"/>
        <w:gridCol w:w="3135"/>
      </w:tblGrid>
      <w:tr w:rsidR="00EA5D97" w14:paraId="649145FA" w14:textId="77777777">
        <w:tc>
          <w:tcPr>
            <w:tcW w:w="3135" w:type="dxa"/>
            <w:shd w:val="clear" w:color="auto" w:fill="244061" w:themeFill="accent1" w:themeFillShade="80"/>
          </w:tcPr>
          <w:p w:rsidR="00EA5D97" w:rsidRDefault="005311C6" w14:paraId="5C8BE0FD" w14:textId="77777777">
            <w:pPr>
              <w:spacing w:before="40" w:after="40"/>
            </w:pPr>
            <w:r>
              <w:rPr>
                <w:b/>
                <w:color w:val="FFFFFF"/>
                <w:sz w:val="19"/>
              </w:rPr>
              <w:t>Bron</w:t>
            </w:r>
          </w:p>
        </w:tc>
        <w:tc>
          <w:tcPr>
            <w:tcW w:w="3135" w:type="dxa"/>
            <w:shd w:val="clear" w:color="auto" w:fill="244061" w:themeFill="accent1" w:themeFillShade="80"/>
          </w:tcPr>
          <w:p w:rsidR="00EA5D97" w:rsidRDefault="005311C6" w14:paraId="596BCF84" w14:textId="77777777">
            <w:pPr>
              <w:spacing w:before="40" w:after="40"/>
            </w:pPr>
            <w:r>
              <w:rPr>
                <w:b/>
                <w:color w:val="FFFFFF"/>
                <w:sz w:val="19"/>
              </w:rPr>
              <w:t>Jaar</w:t>
            </w:r>
          </w:p>
        </w:tc>
        <w:tc>
          <w:tcPr>
            <w:tcW w:w="3135" w:type="dxa"/>
            <w:shd w:val="clear" w:color="auto" w:fill="244061" w:themeFill="accent1" w:themeFillShade="80"/>
          </w:tcPr>
          <w:p w:rsidR="00EA5D97" w:rsidRDefault="005311C6" w14:paraId="5CB96F55" w14:textId="77777777">
            <w:pPr>
              <w:spacing w:before="40" w:after="40"/>
            </w:pPr>
            <w:r>
              <w:rPr>
                <w:b/>
                <w:color w:val="FFFFFF"/>
                <w:sz w:val="19"/>
              </w:rPr>
              <w:t>Ouderdom</w:t>
            </w:r>
          </w:p>
        </w:tc>
      </w:tr>
      <w:tr w:rsidR="00EA5D97" w14:paraId="20104F52" w14:textId="77777777">
        <w:tc>
          <w:tcPr>
            <w:tcW w:w="3135" w:type="dxa"/>
            <w:shd w:val="clear" w:color="auto" w:fill="F2F6FC"/>
          </w:tcPr>
          <w:p w:rsidR="00EA5D97" w:rsidRDefault="005311C6" w14:paraId="08CA7D25" w14:textId="77777777">
            <w:pPr>
              <w:spacing w:before="40" w:after="40"/>
            </w:pPr>
            <w:r>
              <w:rPr>
                <w:sz w:val="19"/>
              </w:rPr>
              <w:t>IARC-classificatie Groep 2B</w:t>
            </w:r>
          </w:p>
        </w:tc>
        <w:tc>
          <w:tcPr>
            <w:tcW w:w="3135" w:type="dxa"/>
            <w:shd w:val="clear" w:color="auto" w:fill="F2F6FC"/>
          </w:tcPr>
          <w:p w:rsidR="00EA5D97" w:rsidRDefault="005311C6" w14:paraId="3C463214" w14:textId="77777777">
            <w:pPr>
              <w:spacing w:before="40" w:after="40"/>
            </w:pPr>
            <w:r>
              <w:rPr>
                <w:sz w:val="19"/>
              </w:rPr>
              <w:t>2002</w:t>
            </w:r>
          </w:p>
        </w:tc>
        <w:tc>
          <w:tcPr>
            <w:tcW w:w="3135" w:type="dxa"/>
            <w:shd w:val="clear" w:color="auto" w:fill="F2F6FC"/>
          </w:tcPr>
          <w:p w:rsidR="00EA5D97" w:rsidRDefault="005311C6" w14:paraId="339B52DE" w14:textId="77777777">
            <w:pPr>
              <w:spacing w:before="40" w:after="40"/>
            </w:pPr>
            <w:r>
              <w:rPr>
                <w:sz w:val="19"/>
              </w:rPr>
              <w:t>24 jaar</w:t>
            </w:r>
          </w:p>
        </w:tc>
      </w:tr>
      <w:tr w:rsidR="00EA5D97" w14:paraId="6A68796B" w14:textId="77777777">
        <w:tc>
          <w:tcPr>
            <w:tcW w:w="3135" w:type="dxa"/>
          </w:tcPr>
          <w:p w:rsidR="00EA5D97" w:rsidRDefault="005311C6" w14:paraId="698E8581" w14:textId="77777777">
            <w:pPr>
              <w:spacing w:before="40" w:after="40"/>
            </w:pPr>
            <w:r>
              <w:rPr>
                <w:sz w:val="19"/>
              </w:rPr>
              <w:t>WHO Environmental Health Criteria ELF-EMF</w:t>
            </w:r>
          </w:p>
        </w:tc>
        <w:tc>
          <w:tcPr>
            <w:tcW w:w="3135" w:type="dxa"/>
          </w:tcPr>
          <w:p w:rsidR="00EA5D97" w:rsidRDefault="005311C6" w14:paraId="23E11415" w14:textId="77777777">
            <w:pPr>
              <w:spacing w:before="40" w:after="40"/>
            </w:pPr>
            <w:r>
              <w:rPr>
                <w:sz w:val="19"/>
              </w:rPr>
              <w:t>2007</w:t>
            </w:r>
          </w:p>
        </w:tc>
        <w:tc>
          <w:tcPr>
            <w:tcW w:w="3135" w:type="dxa"/>
          </w:tcPr>
          <w:p w:rsidR="00EA5D97" w:rsidRDefault="005311C6" w14:paraId="3A77A5F6" w14:textId="77777777">
            <w:pPr>
              <w:spacing w:before="40" w:after="40"/>
            </w:pPr>
            <w:r>
              <w:rPr>
                <w:sz w:val="19"/>
              </w:rPr>
              <w:t>19 jaar</w:t>
            </w:r>
          </w:p>
        </w:tc>
      </w:tr>
      <w:tr w:rsidR="00EA5D97" w14:paraId="20D039F1" w14:textId="77777777">
        <w:tc>
          <w:tcPr>
            <w:tcW w:w="3135" w:type="dxa"/>
            <w:shd w:val="clear" w:color="auto" w:fill="F2F6FC"/>
          </w:tcPr>
          <w:p w:rsidR="00EA5D97" w:rsidRDefault="005311C6" w14:paraId="3621B2D7" w14:textId="77777777">
            <w:pPr>
              <w:spacing w:before="40" w:after="40"/>
            </w:pPr>
            <w:r>
              <w:rPr>
                <w:sz w:val="19"/>
              </w:rPr>
              <w:t>ICNIRP-richtlijn</w:t>
            </w:r>
          </w:p>
        </w:tc>
        <w:tc>
          <w:tcPr>
            <w:tcW w:w="3135" w:type="dxa"/>
            <w:shd w:val="clear" w:color="auto" w:fill="F2F6FC"/>
          </w:tcPr>
          <w:p w:rsidR="00EA5D97" w:rsidRDefault="005311C6" w14:paraId="3B78EC4A" w14:textId="77777777">
            <w:pPr>
              <w:spacing w:before="40" w:after="40"/>
            </w:pPr>
            <w:r>
              <w:rPr>
                <w:sz w:val="19"/>
              </w:rPr>
              <w:t>2010</w:t>
            </w:r>
          </w:p>
        </w:tc>
        <w:tc>
          <w:tcPr>
            <w:tcW w:w="3135" w:type="dxa"/>
            <w:shd w:val="clear" w:color="auto" w:fill="F2F6FC"/>
          </w:tcPr>
          <w:p w:rsidR="00EA5D97" w:rsidRDefault="005311C6" w14:paraId="152CB3C8" w14:textId="77777777">
            <w:pPr>
              <w:spacing w:before="40" w:after="40"/>
            </w:pPr>
            <w:r>
              <w:rPr>
                <w:sz w:val="19"/>
              </w:rPr>
              <w:t>16 jaar</w:t>
            </w:r>
          </w:p>
        </w:tc>
      </w:tr>
      <w:tr w:rsidR="00EA5D97" w14:paraId="6DBB6FEF" w14:textId="77777777">
        <w:tc>
          <w:tcPr>
            <w:tcW w:w="3135" w:type="dxa"/>
          </w:tcPr>
          <w:p w:rsidR="00EA5D97" w:rsidRDefault="005311C6" w14:paraId="55FBB4E9" w14:textId="77777777">
            <w:pPr>
              <w:spacing w:before="40" w:after="40"/>
            </w:pPr>
            <w:r>
              <w:rPr>
                <w:sz w:val="19"/>
              </w:rPr>
              <w:t>Consultatietraject Departement LNE</w:t>
            </w:r>
          </w:p>
        </w:tc>
        <w:tc>
          <w:tcPr>
            <w:tcW w:w="3135" w:type="dxa"/>
          </w:tcPr>
          <w:p w:rsidR="00EA5D97" w:rsidRDefault="005311C6" w14:paraId="30658528" w14:textId="77777777">
            <w:pPr>
              <w:spacing w:before="40" w:after="40"/>
            </w:pPr>
            <w:r>
              <w:rPr>
                <w:sz w:val="19"/>
              </w:rPr>
              <w:t>2011</w:t>
            </w:r>
          </w:p>
        </w:tc>
        <w:tc>
          <w:tcPr>
            <w:tcW w:w="3135" w:type="dxa"/>
          </w:tcPr>
          <w:p w:rsidR="00EA5D97" w:rsidRDefault="005311C6" w14:paraId="0AE11F94" w14:textId="77777777">
            <w:pPr>
              <w:spacing w:before="40" w:after="40"/>
            </w:pPr>
            <w:r>
              <w:rPr>
                <w:sz w:val="19"/>
              </w:rPr>
              <w:t>15 jaar</w:t>
            </w:r>
          </w:p>
        </w:tc>
      </w:tr>
      <w:tr w:rsidR="00EA5D97" w14:paraId="4C582917" w14:textId="77777777">
        <w:tc>
          <w:tcPr>
            <w:tcW w:w="3135" w:type="dxa"/>
            <w:shd w:val="clear" w:color="auto" w:fill="F2F6FC"/>
          </w:tcPr>
          <w:p w:rsidR="00EA5D97" w:rsidRDefault="005311C6" w14:paraId="5C7CF42C" w14:textId="77777777">
            <w:pPr>
              <w:spacing w:before="40" w:after="40"/>
            </w:pPr>
            <w:r>
              <w:rPr>
                <w:b/>
                <w:sz w:val="19"/>
              </w:rPr>
              <w:t>SCENIHR</w:t>
            </w:r>
            <w:r>
              <w:rPr>
                <w:sz w:val="19"/>
              </w:rPr>
              <w:t xml:space="preserve"> (meest recente expertrapport)</w:t>
            </w:r>
          </w:p>
        </w:tc>
        <w:tc>
          <w:tcPr>
            <w:tcW w:w="3135" w:type="dxa"/>
            <w:shd w:val="clear" w:color="auto" w:fill="F2F6FC"/>
          </w:tcPr>
          <w:p w:rsidR="00EA5D97" w:rsidRDefault="005311C6" w14:paraId="022AE731" w14:textId="77777777">
            <w:pPr>
              <w:spacing w:before="40" w:after="40"/>
            </w:pPr>
            <w:r>
              <w:rPr>
                <w:b/>
                <w:sz w:val="19"/>
              </w:rPr>
              <w:t>2015</w:t>
            </w:r>
          </w:p>
        </w:tc>
        <w:tc>
          <w:tcPr>
            <w:tcW w:w="3135" w:type="dxa"/>
            <w:shd w:val="clear" w:color="auto" w:fill="F2F6FC"/>
          </w:tcPr>
          <w:p w:rsidR="00EA5D97" w:rsidRDefault="005311C6" w14:paraId="15227459" w14:textId="77777777">
            <w:pPr>
              <w:spacing w:before="40" w:after="40"/>
            </w:pPr>
            <w:r>
              <w:rPr>
                <w:b/>
                <w:sz w:val="19"/>
              </w:rPr>
              <w:t>&gt;10 jaar</w:t>
            </w:r>
          </w:p>
        </w:tc>
      </w:tr>
    </w:tbl>
    <w:p w:rsidR="00EA5D97" w:rsidRDefault="00EA5D97" w14:paraId="72A3D3EC" w14:textId="77777777"/>
    <w:p w:rsidR="00EA5D97" w:rsidRDefault="005311C6" w14:paraId="43548C98" w14:textId="77777777">
      <w:r>
        <w:t>De meest recente wetenschappelijke review waarnaar het MER inhoudelijk verwijst, is het SCENIHR-rapport uit 2015 (</w:t>
      </w:r>
      <w:r>
        <w:rPr>
          <w:i/>
        </w:rPr>
        <w:t>"Potential health effects of exposure to electromagnetic fields"</w:t>
      </w:r>
      <w:r>
        <w:t>). Dit rapport is op het moment van indiening van het MER (januari 2026) meer dan tien jaar oud.</w:t>
      </w:r>
    </w:p>
    <w:p w:rsidR="00EA5D97" w:rsidRDefault="005311C6" w14:paraId="74F1CC23" w14:textId="77777777">
      <w:pPr>
        <w:pStyle w:val="Heading3"/>
      </w:pPr>
      <w:r>
        <w:t>5.2 SCHEER 2024 niet meegenomen</w:t>
      </w:r>
    </w:p>
    <w:p w:rsidR="00EA5D97" w:rsidRDefault="0EBEC655" w14:paraId="1594FA14" w14:textId="4CA4D63E">
      <w:r>
        <w:t xml:space="preserve">Het Scientific Committee on Health, Environmental and Emerging Risks (SCHEER), opvolger van SCENIHR, heeft in 2024 een nieuw advies gepubliceerd over ELF-EMF. Het MER vermeldt enkel dat de evaluatie daarvan door de Universiteit Gent </w:t>
      </w:r>
      <w:r w:rsidRPr="0EBEC655">
        <w:rPr>
          <w:i/>
          <w:iCs/>
        </w:rPr>
        <w:t xml:space="preserve">"momenteel wordt </w:t>
      </w:r>
      <w:r w:rsidRPr="0EBEC655" w:rsidR="01FA8911">
        <w:rPr>
          <w:i/>
          <w:iCs/>
        </w:rPr>
        <w:t>geëvalueerd</w:t>
      </w:r>
      <w:r w:rsidRPr="0EBEC655">
        <w:rPr>
          <w:i/>
          <w:iCs/>
        </w:rPr>
        <w:t>"</w:t>
      </w:r>
      <w:r>
        <w:t xml:space="preserve"> (MER, p. 13-33). De conclusies van dit recentere advies worden niet inhoudelijk meegenomen in de effectbeoordeling.</w:t>
      </w:r>
    </w:p>
    <w:p w:rsidR="00EA5D97" w:rsidRDefault="005311C6" w14:paraId="6C6553F1" w14:textId="77777777">
      <w:r>
        <w:t xml:space="preserve">Een MER dat dateert van januari 2026 maar zijn wetenschappelijke basis beperkt tot rapporten van 2015 en ouder, terwijl een recenter advies (SCHEER 2024) beschikbaar is, voldoet niet aan de vereiste dat een MER moet steunen op de </w:t>
      </w:r>
      <w:r>
        <w:rPr>
          <w:b/>
        </w:rPr>
        <w:t>meest recente wetenschappelijke kennis</w:t>
      </w:r>
      <w:r>
        <w:t xml:space="preserve"> (MER-richtlijn art. 5).</w:t>
      </w:r>
    </w:p>
    <w:p w:rsidR="00EA5D97" w:rsidRDefault="005311C6" w14:paraId="3AF8E869" w14:textId="77777777">
      <w:pPr>
        <w:pStyle w:val="Heading3"/>
      </w:pPr>
      <w:r>
        <w:t>5.3 Ontbrekende recente epidemiologische studies</w:t>
      </w:r>
    </w:p>
    <w:p w:rsidR="00EA5D97" w:rsidRDefault="0EBEC655" w14:paraId="4845BD18" w14:textId="2AA1E48D">
      <w:r>
        <w:t xml:space="preserve">Het MER bevat geen enkele verwijzing naar recente epidemiologische meta-analyses die na 2015 zijn gepubliceerd (waaronder Amoon et al. 2022, Seomun et al. 2021 en andere). De wetenschappelijke kennis over de relatie tussen ELF-EMF en gezondheidseffecten is in de voorbije tien jaar aanzienlijk </w:t>
      </w:r>
      <w:r w:rsidR="2CC19DE1">
        <w:t>geëvolueerd</w:t>
      </w:r>
      <w:r>
        <w:t>. Het negeren van deze ontwikkelingen is een fundamentele wetenschappelijke tekortkoming.</w:t>
      </w:r>
    </w:p>
    <w:p w:rsidR="00EA5D97" w:rsidRDefault="0EBEC655" w14:paraId="24FB2226" w14:textId="01C84FA3">
      <w:pPr>
        <w:pStyle w:val="Heading3"/>
      </w:pPr>
      <w:r>
        <w:t xml:space="preserve">5.4 Andere </w:t>
      </w:r>
      <w:r w:rsidR="6149163D">
        <w:t>potentiële</w:t>
      </w:r>
      <w:r>
        <w:t xml:space="preserve"> gezondheidseffecten niet besproken</w:t>
      </w:r>
    </w:p>
    <w:p w:rsidR="00EA5D97" w:rsidRDefault="005311C6" w14:paraId="5A761B18" w14:textId="77777777">
      <w:r>
        <w:t xml:space="preserve">Het MER beperkt de erkende gezondheidseffecten van EMF-blootstelling tot kinderleukemie en psychosomatische effecten. Andere in de wetenschappelijke literatuur besproken mogelijke effecten -- waaronder neurodegeneratieve aandoeningen (Alzheimer, ALS), cardiovasculaire effecten en effecten op het voortplantingssysteem -- worden niet besproken. De formulering </w:t>
      </w:r>
      <w:r>
        <w:rPr>
          <w:i/>
        </w:rPr>
        <w:t>"Er zijn geen gezondheidseffecten aangetoond bij volwassenen"</w:t>
      </w:r>
      <w:r>
        <w:t xml:space="preserve"> (MER, p. 13-4) verwart de afwezigheid van bewijs met bewijs van afwezigheid, hetgeen wetenschappelijk onverantwoord is.</w:t>
      </w:r>
    </w:p>
    <w:p w:rsidR="00EA5D97" w:rsidRDefault="005311C6" w14:paraId="4DA80294" w14:textId="77777777">
      <w:pPr>
        <w:pStyle w:val="Heading3"/>
      </w:pPr>
      <w:r>
        <w:t>5.5 Psychosomatisch framing trivialiseert wetenschappelijk onderbouwde risico's</w:t>
      </w:r>
    </w:p>
    <w:p w:rsidR="00EA5D97" w:rsidRDefault="005311C6" w14:paraId="72F457DA" w14:textId="77777777">
      <w:r>
        <w:t xml:space="preserve">Het MER v4 kadert in sectie 13.5.5 de gezondheidszorgen van omwonenden als </w:t>
      </w:r>
      <w:r>
        <w:rPr>
          <w:b/>
        </w:rPr>
        <w:t>"psychosomatische effecten"</w:t>
      </w:r>
      <w:r>
        <w:t xml:space="preserve"> en bespreekt "risicocommunicatie" als oplossing. Dit is problematisch om twee redenen:</w:t>
      </w:r>
    </w:p>
    <w:p w:rsidR="00EA5D97" w:rsidRDefault="005311C6" w14:paraId="0EB78F0B" w14:textId="77777777">
      <w:pPr>
        <w:pStyle w:val="ListNumber"/>
        <w:spacing w:after="60"/>
        <w:ind w:left="720"/>
      </w:pPr>
      <w:r>
        <w:t>Het trivialiseert wetenschappelijk onderbouwde gezondheidsrisico's (IARC 2B, OR 1,26-3,2 voor kinderleukemie) tot een kwestie van misperceptie door burgers.</w:t>
      </w:r>
    </w:p>
    <w:p w:rsidR="00EA5D97" w:rsidRDefault="005311C6" w14:paraId="222F7C57" w14:textId="77777777">
      <w:pPr>
        <w:pStyle w:val="ListNumber"/>
        <w:spacing w:after="60"/>
        <w:ind w:left="720"/>
      </w:pPr>
      <w:r>
        <w:t>Het verschuift de verantwoordelijkheid van de overheid (bescherming bieden) naar de burger (zijn zorgen bijstellen).</w:t>
      </w:r>
    </w:p>
    <w:p w:rsidR="00EA5D97" w:rsidRDefault="005311C6" w14:paraId="6418944D" w14:textId="77777777">
      <w:r>
        <w:t>De Klankbordgroep Gezondheid, de Hoge Gezondheidsraad en de Vlaamse minister hebben het risico erkend. De aanpak van het MER — erken het risico maar kader de zorgen als psychosomatisch — ondermijnt de geloofwaardigheid van de effectbeoordeling.</w:t>
      </w:r>
    </w:p>
    <w:p w:rsidR="00EA5D97" w:rsidRDefault="00EA5D97" w14:paraId="0D0B940D" w14:textId="77777777">
      <w:pPr>
        <w:pBdr>
          <w:bottom w:val="single" w:color="CCCCCC" w:sz="6" w:space="1"/>
        </w:pBdr>
        <w:spacing w:before="240" w:after="240"/>
      </w:pPr>
    </w:p>
    <w:p w:rsidR="00EA5D97" w:rsidRDefault="005311C6" w14:paraId="2725537E" w14:textId="77777777">
      <w:pPr>
        <w:pStyle w:val="Heading2"/>
      </w:pPr>
      <w:r>
        <w:t>6. RECENTE WETENSCHAPPELIJKE ONDERBOUWING (2021-2025)</w:t>
      </w:r>
    </w:p>
    <w:p w:rsidR="00EA5D97" w:rsidRDefault="005311C6" w14:paraId="14A2623A" w14:textId="77777777">
      <w:pPr>
        <w:pStyle w:val="Heading3"/>
      </w:pPr>
      <w:r>
        <w:t>6.1 Het MER steunt op achterhaalde wetenschap</w:t>
      </w:r>
    </w:p>
    <w:p w:rsidR="00EA5D97" w:rsidRDefault="005311C6" w14:paraId="0A9C116E" w14:textId="77777777">
      <w:r>
        <w:t xml:space="preserve">Zoals vastgesteld in sectie 5, dateert de meest recente wetenschappelijke review in het MER (SCENIHR 2015) van meer dan tien jaar geleden. Sindsdien is een aanzienlijk corpus aan nieuwe epidemiologische, experimentele en mechanistische studies gepubliceerd die het verband tussen ELF-EMF-blootstelling en gezondheidseffecten </w:t>
      </w:r>
      <w:r>
        <w:rPr>
          <w:b/>
        </w:rPr>
        <w:t>consistent bevestigen en versterken</w:t>
      </w:r>
      <w:r>
        <w:t>. Het MER negeert deze studies integraal. Hieronder worden de belangrijkste recente publicaties samengevat.</w:t>
      </w:r>
    </w:p>
    <w:p w:rsidR="00EA5D97" w:rsidRDefault="005311C6" w14:paraId="37A61F6C" w14:textId="77777777">
      <w:pPr>
        <w:pStyle w:val="Heading3"/>
      </w:pPr>
      <w:r>
        <w:t>6.2 Meta-analyses bevestigen verhoogd risico op kinderleukemie</w:t>
      </w:r>
    </w:p>
    <w:p w:rsidR="00EA5D97" w:rsidRDefault="005311C6" w14:paraId="362BAAD4" w14:textId="77777777">
      <w:r>
        <w:rPr>
          <w:b/>
        </w:rPr>
        <w:t>(a) Seomun et al. (2021) — Grootste meta-analyse tot op heden.</w:t>
      </w:r>
    </w:p>
    <w:p w:rsidR="00EA5D97" w:rsidRDefault="005311C6" w14:paraId="0284DB62" w14:textId="77777777">
      <w:r>
        <w:t xml:space="preserve">Seomun G, Lee J, Park J. </w:t>
      </w:r>
      <w:r>
        <w:rPr>
          <w:i/>
        </w:rPr>
        <w:t>Exposure to extremely low-frequency magnetic fields and childhood cancer: A systematic review and meta-analysis.</w:t>
      </w:r>
      <w:r>
        <w:t xml:space="preserve"> PLoS ONE 16(5):e0251628. DOI: [10.1371/journal.pone.0251628](https://doi.org/10.1371/journal.pone.0251628).</w:t>
      </w:r>
    </w:p>
    <w:p w:rsidR="00EA5D97" w:rsidRDefault="005311C6" w14:paraId="1CA34714" w14:textId="77777777">
      <w:r>
        <w:t xml:space="preserve">Deze meta-analyse omvat </w:t>
      </w:r>
      <w:r>
        <w:rPr>
          <w:b/>
        </w:rPr>
        <w:t>30 studies met 186.223 deelnemers</w:t>
      </w:r>
      <w:r>
        <w:t xml:space="preserve"> en is daarmee de grootste tot op heden. De gepoolde odds ratio bedraagt </w:t>
      </w:r>
      <w:r>
        <w:rPr>
          <w:b/>
        </w:rPr>
        <w:t>OR = 1,72 (95% CI 1,22-2,43)</w:t>
      </w:r>
      <w:r>
        <w:t xml:space="preserve"> bij blootstelling boven 0,4 uT. De studie stelt een dosis-responsrelatie vast: het risico neemt toe naarmate de blootstelling hoger is. Dit resultaat is statistisch significant en consistent over subgroepanalyses.</w:t>
      </w:r>
    </w:p>
    <w:p w:rsidR="00EA5D97" w:rsidRDefault="005311C6" w14:paraId="4962A568" w14:textId="77777777">
      <w:r>
        <w:rPr>
          <w:b/>
        </w:rPr>
        <w:t>(b) Brabant et al. (2023) — Universiteit Luik meta-analyse.</w:t>
      </w:r>
    </w:p>
    <w:p w:rsidR="00EA5D97" w:rsidRDefault="005311C6" w14:paraId="08074300" w14:textId="77777777">
      <w:r>
        <w:t xml:space="preserve">Brabant C, Geerinck A, Beaudart C, Tirelli E, Geuzaine C, Bruyere O. </w:t>
      </w:r>
      <w:r>
        <w:rPr>
          <w:i/>
        </w:rPr>
        <w:t>Exposure to magnetic fields and childhood leukemia: a systematic review and meta-analysis of case-control and cohort studies.</w:t>
      </w:r>
      <w:r>
        <w:t xml:space="preserve"> Reviews on Environmental Health 39(2):113-127. DOI: [10.1515/reveh-2021-0112](https://doi.org/10.1515/reveh-2021-0112).</w:t>
      </w:r>
    </w:p>
    <w:p w:rsidR="00EA5D97" w:rsidRDefault="005311C6" w14:paraId="29B54321" w14:textId="77777777">
      <w:r>
        <w:t xml:space="preserve">Onderzoekers van de Universiteit Luik analyseerden </w:t>
      </w:r>
      <w:r>
        <w:rPr>
          <w:b/>
        </w:rPr>
        <w:t>38 studies</w:t>
      </w:r>
      <w:r>
        <w:t xml:space="preserve"> en vonden een gepoolde </w:t>
      </w:r>
      <w:r>
        <w:rPr>
          <w:b/>
        </w:rPr>
        <w:t>OR = 1,26</w:t>
      </w:r>
      <w:r>
        <w:t xml:space="preserve"> over 21 studies, oplopend tot </w:t>
      </w:r>
      <w:r>
        <w:rPr>
          <w:b/>
        </w:rPr>
        <w:t>OR = 1,88 (95% CI 1,31-2,70)</w:t>
      </w:r>
      <w:r>
        <w:t xml:space="preserve"> specifiek voor acute lymfatische leukemie (ALL) bij blootstelling boven 0,4 uT. Dit bevestigt dat het risico het grootst is voor het meest voorkomende type kinderleukemie.</w:t>
      </w:r>
    </w:p>
    <w:p w:rsidR="00EA5D97" w:rsidRDefault="005311C6" w14:paraId="5CA3A29D" w14:textId="77777777">
      <w:r>
        <w:rPr>
          <w:b/>
        </w:rPr>
        <w:t>(c) Malagoli et al. (2023) — Italiaans bewijs.</w:t>
      </w:r>
    </w:p>
    <w:p w:rsidR="00EA5D97" w:rsidRDefault="005311C6" w14:paraId="21B0F2A5" w14:textId="77777777">
      <w:r>
        <w:t xml:space="preserve">Malagoli C, Malavolti M, Wise LA, Longo C, Ghermandi G, Teggi S, Arcolin E, Vinceti M. </w:t>
      </w:r>
      <w:r>
        <w:rPr>
          <w:i/>
        </w:rPr>
        <w:t>Residential exposure to magnetic fields from high-voltage power lines and risk of childhood leukemia.</w:t>
      </w:r>
      <w:r>
        <w:t xml:space="preserve"> Environmental Research 232:116320. DOI: [10.1016/j.envres.2023.116320](https://doi.org/10.1016/j.envres.2023.116320).</w:t>
      </w:r>
    </w:p>
    <w:p w:rsidR="00EA5D97" w:rsidRDefault="0EBEC655" w14:paraId="15C4A94A" w14:textId="62A9D597">
      <w:r>
        <w:t xml:space="preserve">Italiaanse studie met </w:t>
      </w:r>
      <w:r w:rsidRPr="0EBEC655">
        <w:rPr>
          <w:b/>
          <w:bCs/>
        </w:rPr>
        <w:t>182 gevallen</w:t>
      </w:r>
      <w:r>
        <w:t xml:space="preserve"> die een </w:t>
      </w:r>
      <w:r w:rsidRPr="0EBEC655">
        <w:rPr>
          <w:b/>
          <w:bCs/>
        </w:rPr>
        <w:t>OR = 2,0</w:t>
      </w:r>
      <w:r>
        <w:t xml:space="preserve"> vaststelt voor kinderleukemie bij bewoners binnen 100 meter van hoogspanningslijnen. Dit bevestigt het ruimtelijke verband tussen nabijheid van hoogspanningslijnen en kinderleukemie, onafhankelijk van magnetische</w:t>
      </w:r>
      <w:r w:rsidR="7CF1179D">
        <w:t xml:space="preserve"> </w:t>
      </w:r>
      <w:r>
        <w:t>veldmetingen.</w:t>
      </w:r>
    </w:p>
    <w:p w:rsidR="00EA5D97" w:rsidRDefault="005311C6" w14:paraId="7EB5285D" w14:textId="77777777">
      <w:pPr>
        <w:pStyle w:val="Heading3"/>
      </w:pPr>
      <w:r>
        <w:t>6.3 Nationale case-control studies verfijnen het bewijs</w:t>
      </w:r>
    </w:p>
    <w:p w:rsidR="00EA5D97" w:rsidRDefault="005311C6" w14:paraId="5AD7CDE2" w14:textId="77777777">
      <w:r>
        <w:rPr>
          <w:b/>
        </w:rPr>
        <w:t>GEOCAP/Mancini et al. (2025) — Frans nationaal case-control onderzoek.</w:t>
      </w:r>
    </w:p>
    <w:p w:rsidR="00EA5D97" w:rsidRDefault="005311C6" w14:paraId="0947749E" w14:textId="77777777">
      <w:r>
        <w:t xml:space="preserve">Mancini J, Havet N, Orjuela-Grimm M, Clavel J, Rudant J. </w:t>
      </w:r>
      <w:r>
        <w:rPr>
          <w:i/>
        </w:rPr>
        <w:t>Residential proximity to overhead high-voltage power lines and childhood acute leukemia: Results from the French national case-control study GEOCAP, 2002-2013.</w:t>
      </w:r>
      <w:r>
        <w:t xml:space="preserve"> Environmental Research 268:121638. DOI: [10.1016/j.envres.2025.121638](https://doi.org/10.1016/j.envres.2025.121638).</w:t>
      </w:r>
    </w:p>
    <w:p w:rsidR="00EA5D97" w:rsidRDefault="005311C6" w14:paraId="14212F4E" w14:textId="77777777">
      <w:r>
        <w:t xml:space="preserve">Het GEOCAP-onderzoek is een van de grootste nationale case-control studies ter wereld, met </w:t>
      </w:r>
      <w:r>
        <w:rPr>
          <w:b/>
        </w:rPr>
        <w:t>4.117 gevallen van kinderleukemie</w:t>
      </w:r>
      <w:r>
        <w:t>. De resultaten tonen:</w:t>
      </w:r>
    </w:p>
    <w:p w:rsidR="00EA5D97" w:rsidRDefault="005311C6" w14:paraId="17564436" w14:textId="77777777">
      <w:pPr>
        <w:pStyle w:val="ListBullet"/>
        <w:spacing w:after="60"/>
        <w:ind w:left="720"/>
      </w:pPr>
      <w:r>
        <w:rPr>
          <w:b/>
        </w:rPr>
        <w:t>OR = 1,6</w:t>
      </w:r>
      <w:r>
        <w:t xml:space="preserve"> voor kinderen wonend binnen 50 meter van 225-400 kV lijnen;</w:t>
      </w:r>
    </w:p>
    <w:p w:rsidR="00EA5D97" w:rsidRDefault="005311C6" w14:paraId="13820D74" w14:textId="77777777">
      <w:pPr>
        <w:pStyle w:val="ListBullet"/>
        <w:spacing w:after="60"/>
        <w:ind w:left="720"/>
      </w:pPr>
      <w:r>
        <w:rPr>
          <w:b/>
        </w:rPr>
        <w:t>OR = 3,2</w:t>
      </w:r>
      <w:r>
        <w:t xml:space="preserve"> wanneer de analyse wordt beperkt tot gevallen met hoge geocoderingskwaliteit (nauwkeuriger adresbepaling).</w:t>
      </w:r>
    </w:p>
    <w:p w:rsidR="00EA5D97" w:rsidRDefault="005311C6" w14:paraId="13BD715F" w14:textId="77777777">
      <w:r>
        <w:t xml:space="preserve">Deze studie is bijzonder relevant voor het Ventilus-project omdat zij betrekking heeft op </w:t>
      </w:r>
      <w:r>
        <w:rPr>
          <w:b/>
        </w:rPr>
        <w:t>exact dezelfde spanningscategorie</w:t>
      </w:r>
      <w:r>
        <w:t xml:space="preserve"> (225-400 kV) als de Ventilus-verbinding (380 kV). Het MER bevat geen enkele verwijzing naar dit onderzoek.</w:t>
      </w:r>
    </w:p>
    <w:p w:rsidR="00EA5D97" w:rsidRDefault="005311C6" w14:paraId="080C59E0" w14:textId="77777777">
      <w:pPr>
        <w:pStyle w:val="Heading3"/>
      </w:pPr>
      <w:r>
        <w:t>6.3bis Nuancering: Amoon et al. (2022) en het bredere bewijsbeeld</w:t>
      </w:r>
    </w:p>
    <w:p w:rsidR="00EA5D97" w:rsidRDefault="005311C6" w14:paraId="12CCD0B9" w14:textId="77777777">
      <w:r>
        <w:t>Amoon et al. (2022) vonden in hun individuele gepoolde analyse een OR van slechts 1,01 voor blootstelling ≥ 0,4 µT (niet significant). Dit resultaat moet echter worden genuanceerd:</w:t>
      </w:r>
    </w:p>
    <w:p w:rsidR="00EA5D97" w:rsidRDefault="005311C6" w14:paraId="00248BA6" w14:textId="77777777">
      <w:pPr>
        <w:pStyle w:val="ListBullet"/>
        <w:spacing w:after="60"/>
        <w:ind w:left="720"/>
      </w:pPr>
      <w:r>
        <w:t xml:space="preserve">De </w:t>
      </w:r>
      <w:r>
        <w:rPr>
          <w:b/>
        </w:rPr>
        <w:t>meta-analyse van alle drie gepoolde analyses</w:t>
      </w:r>
      <w:r>
        <w:t xml:space="preserve"> (Ahlbom 2000, Kheifets 2010, Amoon 2022) toont nog steeds een OR van </w:t>
      </w:r>
      <w:r>
        <w:rPr>
          <w:b/>
        </w:rPr>
        <w:t>1,45</w:t>
      </w:r>
      <w:r>
        <w:t xml:space="preserve"> (95% CI 0,95-2,20) — een klinisch relevant verhoogd risico.</w:t>
      </w:r>
    </w:p>
    <w:p w:rsidR="00EA5D97" w:rsidRDefault="005311C6" w14:paraId="4FA063D2" w14:textId="77777777">
      <w:pPr>
        <w:pStyle w:val="ListBullet"/>
        <w:spacing w:after="60"/>
        <w:ind w:left="720"/>
      </w:pPr>
      <w:r>
        <w:t>Amoon et al. zelf erkennen methodologische beperkingen, waaronder de exclusie van studies met beperkte blootstellingsdata.</w:t>
      </w:r>
    </w:p>
    <w:p w:rsidR="00EA5D97" w:rsidRDefault="005311C6" w14:paraId="0B891057" w14:textId="77777777">
      <w:pPr>
        <w:pStyle w:val="ListBullet"/>
        <w:spacing w:after="60"/>
        <w:ind w:left="720"/>
      </w:pPr>
      <w:r>
        <w:t>De meer uitgebreide meta-analyses van Brabant (2023, OR 1,88 voor ALL bij &gt;0,4 µT) en Seomun (2021, OR 1,72 bij &gt;0,4 µT) vinden wel degelijk significante verbanden op basis van een groter aantal geïncludeerde studies.</w:t>
      </w:r>
    </w:p>
    <w:p w:rsidR="00EA5D97" w:rsidRDefault="005311C6" w14:paraId="273CE9ED" w14:textId="77777777">
      <w:r>
        <w:t>Het MER kan zich niet selectief beroepen op Amoon et al. als bewijs van afwezigheid van risico, terwijl meerdere onafhankelijke meta-analyses met bredere inclusiecriteria consistente verhoogde risico's aantonen.</w:t>
      </w:r>
    </w:p>
    <w:p w:rsidR="00EA5D97" w:rsidRDefault="005311C6" w14:paraId="3A1133F5" w14:textId="77777777">
      <w:pPr>
        <w:pStyle w:val="Heading3"/>
      </w:pPr>
      <w:r>
        <w:t>6.3ter Luukkonen et al. (2025) versus Brabant et al. (2025): methodologisch verschil</w:t>
      </w:r>
    </w:p>
    <w:p w:rsidR="00EA5D97" w:rsidRDefault="005311C6" w14:paraId="2E1F2CB8" w14:textId="77777777">
      <w:r>
        <w:t>Luukkonen et al. (2025, Environmental Research, DOI: 10.1016/j.envres.2025.121819) vonden in een afzonderlijke review "very little evidence that ELF MFs alone are carcinogenic" in dierexperimenteel onderzoek, maar noteerden ook significante publicatiebias. Het verschil met de conclusie van Brabant et al. (2025, OR 4,45 voor leukemie bij muizen) is deels methodologisch:</w:t>
      </w:r>
    </w:p>
    <w:p w:rsidR="00EA5D97" w:rsidRDefault="005311C6" w14:paraId="3188DBDF" w14:textId="77777777">
      <w:pPr>
        <w:pStyle w:val="ListBullet"/>
        <w:spacing w:after="60"/>
        <w:ind w:left="720"/>
      </w:pPr>
      <w:r>
        <w:t xml:space="preserve">Brabant et al. focusten specifiek op </w:t>
      </w:r>
      <w:r>
        <w:rPr>
          <w:b/>
        </w:rPr>
        <w:t>leukemie bij muizen</w:t>
      </w:r>
      <w:r>
        <w:t xml:space="preserve"> — het kankertype waarvoor het sterkste bewijs bestaat.</w:t>
      </w:r>
    </w:p>
    <w:p w:rsidR="00EA5D97" w:rsidRDefault="005311C6" w14:paraId="1CC8EC03" w14:textId="77777777">
      <w:pPr>
        <w:pStyle w:val="ListBullet"/>
        <w:spacing w:after="60"/>
        <w:ind w:left="720"/>
      </w:pPr>
      <w:r>
        <w:t xml:space="preserve">Luukkonen et al. analyseerden </w:t>
      </w:r>
      <w:r>
        <w:rPr>
          <w:b/>
        </w:rPr>
        <w:t>alle kankertypen en diersoorten</w:t>
      </w:r>
      <w:r>
        <w:t xml:space="preserve"> samen, waardoor het leukemie-specifieke signaal verwatert.</w:t>
      </w:r>
    </w:p>
    <w:p w:rsidR="00EA5D97" w:rsidRDefault="005311C6" w14:paraId="2C175F5E" w14:textId="77777777">
      <w:pPr>
        <w:pStyle w:val="ListBullet"/>
        <w:spacing w:after="60"/>
        <w:ind w:left="720"/>
      </w:pPr>
      <w:r>
        <w:t xml:space="preserve">Brabant et al. concluderen zelf: </w:t>
      </w:r>
      <w:r>
        <w:rPr>
          <w:i/>
        </w:rPr>
        <w:t>"The carcinogenic effects of these magnetic fields could be limited to leukemia"</w:t>
      </w:r>
      <w:r>
        <w:t xml:space="preserve"> — consistent met de epidemiologische bevindingen bij kinderen.</w:t>
      </w:r>
    </w:p>
    <w:p w:rsidR="00EA5D97" w:rsidRDefault="005311C6" w14:paraId="19AF7491" w14:textId="77777777">
      <w:pPr>
        <w:pStyle w:val="Heading3"/>
      </w:pPr>
      <w:r>
        <w:t>6.3quater ICBE-EMF / Melnick et al. (2025): kritiek op WHO-beoordelingen</w:t>
      </w:r>
    </w:p>
    <w:p w:rsidR="00EA5D97" w:rsidRDefault="005311C6" w14:paraId="2075AF3F" w14:textId="77777777">
      <w:r>
        <w:t xml:space="preserve">Het International Commission on the Biological Effects of EMF (ICBE-EMF), mede opgericht door voormalig NIEHS-directeur Melnick, publiceerde in 2025 (Environmental Health, DOI: 10.1186/s12940-025-01220-4) een uitgebreide kritiek op de WHO-systematische reviews betreffende EMF-gezondheidseffecten. De auteurs documenteren </w:t>
      </w:r>
      <w:r>
        <w:rPr>
          <w:b/>
        </w:rPr>
        <w:t>"serious methodological weaknesses"</w:t>
      </w:r>
      <w:r>
        <w:t xml:space="preserve"> in de WHO-beoordelingen, waaronder selectieve inclusie van studies en inconsistente toepassing van beoordelingscriteria.</w:t>
      </w:r>
    </w:p>
    <w:p w:rsidR="00EA5D97" w:rsidRDefault="005311C6" w14:paraId="33DBDAF9" w14:textId="77777777">
      <w:pPr>
        <w:pStyle w:val="Heading3"/>
      </w:pPr>
      <w:r>
        <w:t>6.3quinquies IARC Advisory Group (2024): classificatie gehandhaafd</w:t>
      </w:r>
    </w:p>
    <w:p w:rsidR="00EA5D97" w:rsidRDefault="005311C6" w14:paraId="58CA42F0" w14:textId="77777777">
      <w:r>
        <w:t>De IARC Advisory Group heeft in 2024 (</w:t>
      </w:r>
      <w:r>
        <w:rPr>
          <w:i/>
        </w:rPr>
        <w:t>The Lancet Oncology</w:t>
      </w:r>
      <w:r>
        <w:t xml:space="preserve">) bevestigd dat de Groep 2B classificatie voor ELF-magnetische velden </w:t>
      </w:r>
      <w:r>
        <w:rPr>
          <w:b/>
        </w:rPr>
        <w:t>ongewijzigd</w:t>
      </w:r>
      <w:r>
        <w:t xml:space="preserve"> blijft. Er is geen herziening gepland voor 2025-2029 omdat </w:t>
      </w:r>
      <w:r>
        <w:rPr>
          <w:i/>
        </w:rPr>
        <w:t>"existing evidence does not appear to support a change in classification."</w:t>
      </w:r>
      <w:r>
        <w:t xml:space="preserve"> Na meer dan 20 jaar aanvullend onderzoek is de classificatie niet afgezwakt — dit bevestigt de robuustheid van het bewijs.</w:t>
      </w:r>
    </w:p>
    <w:p w:rsidR="00EA5D97" w:rsidRDefault="005311C6" w14:paraId="115EB064" w14:textId="77777777">
      <w:pPr>
        <w:pStyle w:val="Heading3"/>
      </w:pPr>
      <w:r>
        <w:t>6.4 Experimenteel bewijs doorbreekt de "enkel-epidemiologisch" beperking</w:t>
      </w:r>
    </w:p>
    <w:p w:rsidR="00EA5D97" w:rsidRDefault="005311C6" w14:paraId="2FF87A20" w14:textId="77777777">
      <w:r>
        <w:rPr>
          <w:b/>
        </w:rPr>
        <w:t>Brabant et al. (2025) — Dierexperimenteel bewijs voor leukemie door ELF-EMF.</w:t>
      </w:r>
    </w:p>
    <w:p w:rsidR="00EA5D97" w:rsidRDefault="005311C6" w14:paraId="5E7B74C4" w14:textId="77777777">
      <w:r>
        <w:t xml:space="preserve">Brabant C, Geerinck A, Tirelli E, Geuzaine C, Bruyere O. </w:t>
      </w:r>
      <w:r>
        <w:rPr>
          <w:i/>
        </w:rPr>
        <w:t>Exposure to extremely low-frequency magnetic fields and the risk of leukaemia: update of the epidemiological evidence and biological plausibility.</w:t>
      </w:r>
      <w:r>
        <w:t xml:space="preserve"> Progress in Biophysics and Molecular Biology 195:39-51. DOI: [10.1016/j.pbiomolbio.2024.12.005](https://doi.org/10.1016/j.pbiomolbio.2024.12.005).</w:t>
      </w:r>
    </w:p>
    <w:p w:rsidR="00EA5D97" w:rsidRDefault="005311C6" w14:paraId="2491C0B2" w14:textId="77777777">
      <w:r>
        <w:t xml:space="preserve">Deze publicatie vormt een </w:t>
      </w:r>
      <w:r>
        <w:rPr>
          <w:b/>
        </w:rPr>
        <w:t>wetenschappelijke doorbraak</w:t>
      </w:r>
      <w:r>
        <w:t>. De auteurs rapporteren voor het eerst dat dierexperimenten een statistisch significant verhoogd risico op leukemie aantonen bij blootstelling aan extreem laagfrequente magnetische velden:</w:t>
      </w:r>
    </w:p>
    <w:p w:rsidR="00EA5D97" w:rsidRDefault="005311C6" w14:paraId="78AB9C09" w14:textId="77777777">
      <w:pPr>
        <w:pStyle w:val="ListBullet"/>
        <w:spacing w:after="60"/>
        <w:ind w:left="720"/>
      </w:pPr>
      <w:r>
        <w:rPr>
          <w:b/>
        </w:rPr>
        <w:t>OR = 4,45 (95% CI 1,90-10,38)</w:t>
      </w:r>
      <w:r>
        <w:t xml:space="preserve"> voor leukemie bij muizen blootgesteld aan ELF-EMF.</w:t>
      </w:r>
    </w:p>
    <w:p w:rsidR="00EA5D97" w:rsidRDefault="005311C6" w14:paraId="50FBE209" w14:textId="77777777">
      <w:r>
        <w:t xml:space="preserve">Dit is een cruciaal gegeven. Het voornaamste argument dat het MER en eerdere expertcommissies (SCENIHR, WHO) gebruikten om het voorzorgsbeginsel niet strenger toe te passen, was dat het verband tussen ELF-EMF en kinderleukemie </w:t>
      </w:r>
      <w:r>
        <w:rPr>
          <w:i/>
        </w:rPr>
        <w:t>"slechts epidemiologisch"</w:t>
      </w:r>
      <w:r>
        <w:t xml:space="preserve"> was en niet werd ondersteund door experimenteel bewijs. </w:t>
      </w:r>
      <w:r>
        <w:rPr>
          <w:b/>
        </w:rPr>
        <w:t>Dat argument is nu weerlegd.</w:t>
      </w:r>
      <w:r>
        <w:t xml:space="preserve"> De combinatie van consistent epidemiologisch bewijs (OR 1,26-3,2) met experimenteel bewijs (OR 4,45) versterkt de biologische plausibiliteit aanzienlijk.</w:t>
      </w:r>
    </w:p>
    <w:p w:rsidR="00EA5D97" w:rsidRDefault="005311C6" w14:paraId="4B27C35D" w14:textId="77777777">
      <w:pPr>
        <w:pStyle w:val="Heading3"/>
      </w:pPr>
      <w:r>
        <w:t>6.5 Bewijs strekt zich uit voorbij kinderleukemie</w:t>
      </w:r>
    </w:p>
    <w:p w:rsidR="00EA5D97" w:rsidRDefault="005311C6" w14:paraId="48FEAB34" w14:textId="77777777">
      <w:r>
        <w:rPr>
          <w:b/>
        </w:rPr>
        <w:t>Correa-Correa et al. (2025) — Tumoren van het centraal zenuwstelsel bij kinderen.</w:t>
      </w:r>
    </w:p>
    <w:p w:rsidR="00EA5D97" w:rsidRDefault="005311C6" w14:paraId="32F876D6" w14:textId="77777777">
      <w:r>
        <w:t xml:space="preserve">Correa-Correa V, Martinez-Salgado LE, Sosa-Lozano LA, Perez-Herrera N, Lopez-Carrillo L, Cebrian-Garcia ME, Hernandez-Ramirez RU. </w:t>
      </w:r>
      <w:r>
        <w:rPr>
          <w:i/>
        </w:rPr>
        <w:t>Extremely low-frequency magnetic fields and childhood central nervous system tumors.</w:t>
      </w:r>
      <w:r>
        <w:t xml:space="preserve"> Environmental Research 271:122858. DOI: [10.1016/j.envres.2025.122858](https://doi.org/10.1016/j.envres.2025.122858).</w:t>
      </w:r>
    </w:p>
    <w:p w:rsidR="00EA5D97" w:rsidRDefault="005311C6" w14:paraId="04B2F8D9" w14:textId="77777777">
      <w:r>
        <w:t xml:space="preserve">Deze studie uit Mexico City toont een verhoogd risico op tumoren van het centraal zenuwstelsel (CNS) bij kinderen blootgesteld aan magnetische velden boven 0,4 uT. Dit is significant omdat het bewijs </w:t>
      </w:r>
      <w:r>
        <w:rPr>
          <w:b/>
        </w:rPr>
        <w:t>niet langer beperkt is tot leukemie</w:t>
      </w:r>
      <w:r>
        <w:t>, maar zich uitstrekt tot andere vormen van kinderkanker. Het MER vermeldt nergens dat ELF-EMF-blootstelling ook geassocieerd wordt met andere kankervormen dan leukemie.</w:t>
      </w:r>
    </w:p>
    <w:p w:rsidR="00EA5D97" w:rsidRDefault="0EBEC655" w14:paraId="729F275D" w14:textId="50560826">
      <w:pPr>
        <w:pStyle w:val="Heading3"/>
      </w:pPr>
      <w:r>
        <w:t xml:space="preserve">6.6 Biologisch mechanisme </w:t>
      </w:r>
      <w:r w:rsidR="37BD62CD">
        <w:t>geïdentificeerd</w:t>
      </w:r>
      <w:r>
        <w:t xml:space="preserve"> — de "mechanisme-lacune" gedicht</w:t>
      </w:r>
    </w:p>
    <w:p w:rsidR="00EA5D97" w:rsidRDefault="005311C6" w14:paraId="61098ACA" w14:textId="77777777">
      <w:r>
        <w:rPr>
          <w:b/>
        </w:rPr>
        <w:t>Panagopoulos et al. (2025) — Spanningsafhankelijke ionkanalen als mechanisme.</w:t>
      </w:r>
    </w:p>
    <w:p w:rsidR="00EA5D97" w:rsidRDefault="005311C6" w14:paraId="266C7062" w14:textId="77777777">
      <w:r>
        <w:t xml:space="preserve">Panagopoulos DJ, Balmori A, Chrousos GP. </w:t>
      </w:r>
      <w:r>
        <w:rPr>
          <w:i/>
        </w:rPr>
        <w:t>Mechanism of action of electromagnetic fields on cells and organisms: The voltage-gated ion channel (VGIC) mechanism.</w:t>
      </w:r>
      <w:r>
        <w:t xml:space="preserve"> Frontiers in Public Health 13:1585441. DOI: [10.3389/fpubh.2025.1585441](https://doi.org/10.3389/fpubh.2025.1585441).</w:t>
      </w:r>
    </w:p>
    <w:p w:rsidR="00EA5D97" w:rsidRDefault="005311C6" w14:paraId="476DBAE8" w14:textId="77777777">
      <w:r>
        <w:t xml:space="preserve">Het MER herhaalt meermaals dat er </w:t>
      </w:r>
      <w:r>
        <w:rPr>
          <w:i/>
        </w:rPr>
        <w:t>"geen bekend biologisch mechanisme"</w:t>
      </w:r>
      <w:r>
        <w:t xml:space="preserve"> is dat het verband tussen ELF-EMF en kanker verklaart (MER, p. 13-4, 13-24). Deze publicatie van Panagopoulos et al. identificeert een plausibel mechanisme via </w:t>
      </w:r>
      <w:r>
        <w:rPr>
          <w:b/>
        </w:rPr>
        <w:t>spanningsafhankelijke ionkanalen</w:t>
      </w:r>
      <w:r>
        <w:t xml:space="preserve"> (Voltage-Gated Ion Channels, VGIC):</w:t>
      </w:r>
    </w:p>
    <w:p w:rsidR="00EA5D97" w:rsidP="0EBEC655" w:rsidRDefault="0EBEC655" w14:paraId="1C738A33" w14:textId="77777777">
      <w:pPr>
        <w:pStyle w:val="ListNumber"/>
        <w:spacing w:after="60"/>
        <w:rPr/>
      </w:pPr>
      <w:r w:rsidR="2A813C1E">
        <w:rPr/>
        <w:t xml:space="preserve">ELF-EMF veroorzaken onregelmatige opening van spanningsafhankelijke </w:t>
      </w:r>
      <w:r w:rsidR="2A813C1E">
        <w:rPr/>
        <w:t>ionkanalen</w:t>
      </w:r>
      <w:r w:rsidR="2A813C1E">
        <w:rPr/>
        <w:t xml:space="preserve"> in celmembranen;</w:t>
      </w:r>
    </w:p>
    <w:p w:rsidR="00EA5D97" w:rsidP="0EBEC655" w:rsidRDefault="0EBEC655" w14:paraId="7888017A" w14:textId="77777777">
      <w:pPr>
        <w:pStyle w:val="ListNumber"/>
        <w:spacing w:after="60"/>
        <w:rPr/>
      </w:pPr>
      <w:r w:rsidR="2A813C1E">
        <w:rPr/>
        <w:t xml:space="preserve">Dit leidt tot verstoring van de intracellulaire </w:t>
      </w:r>
      <w:r w:rsidR="2A813C1E">
        <w:rPr/>
        <w:t>ionhomeostase</w:t>
      </w:r>
      <w:r w:rsidR="2A813C1E">
        <w:rPr/>
        <w:t>;</w:t>
      </w:r>
    </w:p>
    <w:p w:rsidR="00EA5D97" w:rsidP="0EBEC655" w:rsidRDefault="0EBEC655" w14:paraId="39615CC9" w14:textId="77777777">
      <w:pPr>
        <w:pStyle w:val="ListNumber"/>
        <w:spacing w:after="60"/>
        <w:rPr/>
      </w:pPr>
      <w:r w:rsidR="2A813C1E">
        <w:rPr/>
        <w:t>De verstoring veroorzaakt oxidatieve stress door overproductie van reactieve zuurstofverbindingen (ROS);</w:t>
      </w:r>
    </w:p>
    <w:p w:rsidR="00EA5D97" w:rsidP="0EBEC655" w:rsidRDefault="0EBEC655" w14:paraId="1368716B" w14:textId="77777777">
      <w:pPr>
        <w:pStyle w:val="ListNumber"/>
        <w:spacing w:after="60"/>
        <w:rPr/>
      </w:pPr>
      <w:r w:rsidR="2A813C1E">
        <w:rPr/>
        <w:t>Oxidatieve stress leidt tot DNA-schade, met name DNA-</w:t>
      </w:r>
      <w:r w:rsidR="2A813C1E">
        <w:rPr/>
        <w:t>dubbelstrengsbreuken</w:t>
      </w:r>
      <w:r w:rsidR="2A813C1E">
        <w:rPr/>
        <w:t>;</w:t>
      </w:r>
    </w:p>
    <w:p w:rsidR="00EA5D97" w:rsidP="0EBEC655" w:rsidRDefault="0EBEC655" w14:paraId="3850B483" w14:textId="77777777">
      <w:pPr>
        <w:pStyle w:val="ListNumber"/>
        <w:spacing w:after="60"/>
        <w:rPr/>
      </w:pPr>
      <w:r w:rsidR="2A813C1E">
        <w:rPr/>
        <w:t xml:space="preserve">DNA-schade aan </w:t>
      </w:r>
      <w:r w:rsidR="2A813C1E">
        <w:rPr/>
        <w:t>hematopoietische</w:t>
      </w:r>
      <w:r w:rsidR="2A813C1E">
        <w:rPr/>
        <w:t xml:space="preserve"> stamcellen kan leiden tot </w:t>
      </w:r>
      <w:r w:rsidR="2A813C1E">
        <w:rPr/>
        <w:t>leukemogenese</w:t>
      </w:r>
      <w:r w:rsidR="2A813C1E">
        <w:rPr/>
        <w:t>.</w:t>
      </w:r>
    </w:p>
    <w:p w:rsidR="00EA5D97" w:rsidRDefault="0EBEC655" w14:paraId="600E5B98" w14:textId="5E13C304">
      <w:r>
        <w:t xml:space="preserve">Dit mechanisme adresseert rechtstreeks de </w:t>
      </w:r>
      <w:r w:rsidRPr="0EBEC655">
        <w:rPr>
          <w:b/>
          <w:bCs/>
        </w:rPr>
        <w:t>"mechanisme-lacune"</w:t>
      </w:r>
      <w:r>
        <w:t xml:space="preserve"> die het MER en eerdere expertcommissies als voornaamste reden aanvoerden om het verband als "niet-causaal" te classificeren. Met een </w:t>
      </w:r>
      <w:r w:rsidR="2A35AE2B">
        <w:t>geïdentificeerd</w:t>
      </w:r>
      <w:r>
        <w:t xml:space="preserve"> mechanisme verschuift de bewijsbalans: de combinatie van epidemiologisch bewijs, experimenteel bewijs en mechanistisch bewijs voldoet nu aan de criteria van Bradford Hill voor causale inferentie.</w:t>
      </w:r>
    </w:p>
    <w:p w:rsidR="00EA5D97" w:rsidRDefault="005311C6" w14:paraId="6E6B5F3F" w14:textId="77777777">
      <w:pPr>
        <w:pStyle w:val="Heading3"/>
      </w:pPr>
      <w:r>
        <w:t>6.7 Betekenis voor het MER</w:t>
      </w:r>
    </w:p>
    <w:p w:rsidR="00EA5D97" w:rsidRDefault="005311C6" w14:paraId="02B44652" w14:textId="77777777">
      <w:r>
        <w:t>De voornoemde studies ondermijnen de wetenschappelijke basis van het MER op fundamentele wijze:</w:t>
      </w:r>
    </w:p>
    <w:tbl>
      <w:tblPr>
        <w:tblStyle w:val="TableGrid"/>
        <w:tblW w:w="0" w:type="auto"/>
        <w:tblLook w:val="04A0" w:firstRow="1" w:lastRow="0" w:firstColumn="1" w:lastColumn="0" w:noHBand="0" w:noVBand="1"/>
      </w:tblPr>
      <w:tblGrid>
        <w:gridCol w:w="4703"/>
        <w:gridCol w:w="4703"/>
      </w:tblGrid>
      <w:tr w:rsidR="00EA5D97" w14:paraId="114AB02A" w14:textId="77777777">
        <w:tc>
          <w:tcPr>
            <w:tcW w:w="4703" w:type="dxa"/>
            <w:shd w:val="clear" w:color="auto" w:fill="244061" w:themeFill="accent1" w:themeFillShade="80"/>
          </w:tcPr>
          <w:p w:rsidR="00EA5D97" w:rsidRDefault="005311C6" w14:paraId="03BC066D" w14:textId="77777777">
            <w:pPr>
              <w:spacing w:before="40" w:after="40"/>
            </w:pPr>
            <w:r>
              <w:rPr>
                <w:b/>
                <w:color w:val="FFFFFF"/>
                <w:sz w:val="19"/>
              </w:rPr>
              <w:t>Argument MER</w:t>
            </w:r>
          </w:p>
        </w:tc>
        <w:tc>
          <w:tcPr>
            <w:tcW w:w="4703" w:type="dxa"/>
            <w:shd w:val="clear" w:color="auto" w:fill="244061" w:themeFill="accent1" w:themeFillShade="80"/>
          </w:tcPr>
          <w:p w:rsidR="00EA5D97" w:rsidRDefault="005311C6" w14:paraId="4AABE8D6" w14:textId="77777777">
            <w:pPr>
              <w:spacing w:before="40" w:after="40"/>
            </w:pPr>
            <w:r>
              <w:rPr>
                <w:b/>
                <w:color w:val="FFFFFF"/>
                <w:sz w:val="19"/>
              </w:rPr>
              <w:t>Weerlegging door recente studies</w:t>
            </w:r>
          </w:p>
        </w:tc>
      </w:tr>
      <w:tr w:rsidR="00EA5D97" w14:paraId="47F3C468" w14:textId="77777777">
        <w:tc>
          <w:tcPr>
            <w:tcW w:w="4703" w:type="dxa"/>
            <w:shd w:val="clear" w:color="auto" w:fill="F2F6FC"/>
          </w:tcPr>
          <w:p w:rsidR="00EA5D97" w:rsidRDefault="005311C6" w14:paraId="5D317A6A" w14:textId="77777777">
            <w:pPr>
              <w:spacing w:before="40" w:after="40"/>
            </w:pPr>
            <w:r>
              <w:rPr>
                <w:sz w:val="19"/>
              </w:rPr>
              <w:t>"Slechts statistisch verband"</w:t>
            </w:r>
          </w:p>
        </w:tc>
        <w:tc>
          <w:tcPr>
            <w:tcW w:w="4703" w:type="dxa"/>
            <w:shd w:val="clear" w:color="auto" w:fill="F2F6FC"/>
          </w:tcPr>
          <w:p w:rsidR="00EA5D97" w:rsidRDefault="005311C6" w14:paraId="15F96D5D" w14:textId="77777777">
            <w:pPr>
              <w:spacing w:before="40" w:after="40"/>
            </w:pPr>
            <w:r>
              <w:rPr>
                <w:sz w:val="19"/>
              </w:rPr>
              <w:t>Brabant 2025: OR 4,45 bij dierexperimenten = experimenteel bewijs</w:t>
            </w:r>
          </w:p>
        </w:tc>
      </w:tr>
      <w:tr w:rsidR="00EA5D97" w14:paraId="61C0FB25" w14:textId="77777777">
        <w:tc>
          <w:tcPr>
            <w:tcW w:w="4703" w:type="dxa"/>
          </w:tcPr>
          <w:p w:rsidR="00EA5D97" w:rsidRDefault="005311C6" w14:paraId="3BD639C1" w14:textId="77777777">
            <w:pPr>
              <w:spacing w:before="40" w:after="40"/>
            </w:pPr>
            <w:r>
              <w:rPr>
                <w:sz w:val="19"/>
              </w:rPr>
              <w:t>"Geen biologisch mechanisme"</w:t>
            </w:r>
          </w:p>
        </w:tc>
        <w:tc>
          <w:tcPr>
            <w:tcW w:w="4703" w:type="dxa"/>
          </w:tcPr>
          <w:p w:rsidR="00EA5D97" w:rsidRDefault="005311C6" w14:paraId="336C178B" w14:textId="77777777">
            <w:pPr>
              <w:spacing w:before="40" w:after="40"/>
            </w:pPr>
            <w:r>
              <w:rPr>
                <w:sz w:val="19"/>
              </w:rPr>
              <w:t>Panagopoulos 2025: VGIC-mechanisme geidentificeerd</w:t>
            </w:r>
          </w:p>
        </w:tc>
      </w:tr>
      <w:tr w:rsidR="00EA5D97" w14:paraId="69C415A3" w14:textId="77777777">
        <w:tc>
          <w:tcPr>
            <w:tcW w:w="4703" w:type="dxa"/>
            <w:shd w:val="clear" w:color="auto" w:fill="F2F6FC"/>
          </w:tcPr>
          <w:p w:rsidR="00EA5D97" w:rsidRDefault="005311C6" w14:paraId="1C504365" w14:textId="77777777">
            <w:pPr>
              <w:spacing w:before="40" w:after="40"/>
            </w:pPr>
            <w:r>
              <w:rPr>
                <w:sz w:val="19"/>
              </w:rPr>
              <w:t>"Beperkt tot kinderleukemie"</w:t>
            </w:r>
          </w:p>
        </w:tc>
        <w:tc>
          <w:tcPr>
            <w:tcW w:w="4703" w:type="dxa"/>
            <w:shd w:val="clear" w:color="auto" w:fill="F2F6FC"/>
          </w:tcPr>
          <w:p w:rsidR="00EA5D97" w:rsidRDefault="005311C6" w14:paraId="35D8A468" w14:textId="77777777">
            <w:pPr>
              <w:spacing w:before="40" w:after="40"/>
            </w:pPr>
            <w:r>
              <w:rPr>
                <w:sz w:val="19"/>
              </w:rPr>
              <w:t>Correa-Correa 2025: ook CNS-tumoren</w:t>
            </w:r>
          </w:p>
        </w:tc>
      </w:tr>
      <w:tr w:rsidR="00EA5D97" w14:paraId="414089C4" w14:textId="77777777">
        <w:tc>
          <w:tcPr>
            <w:tcW w:w="4703" w:type="dxa"/>
          </w:tcPr>
          <w:p w:rsidR="00EA5D97" w:rsidRDefault="005311C6" w14:paraId="02B0D5A8" w14:textId="77777777">
            <w:pPr>
              <w:spacing w:before="40" w:after="40"/>
            </w:pPr>
            <w:r>
              <w:rPr>
                <w:sz w:val="19"/>
              </w:rPr>
              <w:t>"Risico onzeker"</w:t>
            </w:r>
          </w:p>
        </w:tc>
        <w:tc>
          <w:tcPr>
            <w:tcW w:w="4703" w:type="dxa"/>
          </w:tcPr>
          <w:p w:rsidR="00EA5D97" w:rsidRDefault="005311C6" w14:paraId="35AB2831" w14:textId="77777777">
            <w:pPr>
              <w:spacing w:before="40" w:after="40"/>
            </w:pPr>
            <w:r>
              <w:rPr>
                <w:sz w:val="19"/>
              </w:rPr>
              <w:t>4 onafhankelijke meta-analyses: OR 1,26-1,88 consistent boven 0,4 uT</w:t>
            </w:r>
          </w:p>
        </w:tc>
      </w:tr>
      <w:tr w:rsidR="00EA5D97" w14:paraId="197BF5E8" w14:textId="77777777">
        <w:tc>
          <w:tcPr>
            <w:tcW w:w="4703" w:type="dxa"/>
            <w:shd w:val="clear" w:color="auto" w:fill="F2F6FC"/>
          </w:tcPr>
          <w:p w:rsidR="00EA5D97" w:rsidRDefault="005311C6" w14:paraId="0F9EF797" w14:textId="77777777">
            <w:pPr>
              <w:spacing w:before="40" w:after="40"/>
            </w:pPr>
            <w:r>
              <w:rPr>
                <w:sz w:val="19"/>
              </w:rPr>
              <w:t>SCENIHR 2015 als basis</w:t>
            </w:r>
          </w:p>
        </w:tc>
        <w:tc>
          <w:tcPr>
            <w:tcW w:w="4703" w:type="dxa"/>
            <w:shd w:val="clear" w:color="auto" w:fill="F2F6FC"/>
          </w:tcPr>
          <w:p w:rsidR="00EA5D97" w:rsidRDefault="005311C6" w14:paraId="4E7B696E" w14:textId="77777777">
            <w:pPr>
              <w:spacing w:before="40" w:after="40"/>
            </w:pPr>
            <w:r>
              <w:rPr>
                <w:sz w:val="19"/>
              </w:rPr>
              <w:t>7+ peer-reviewed studies uit 2021-2025 beschikbaar en niet geciteerd</w:t>
            </w:r>
          </w:p>
        </w:tc>
      </w:tr>
      <w:tr w:rsidR="00EA5D97" w14:paraId="5DE862C8" w14:textId="77777777">
        <w:tc>
          <w:tcPr>
            <w:tcW w:w="4703" w:type="dxa"/>
          </w:tcPr>
          <w:p w:rsidR="00EA5D97" w:rsidRDefault="005311C6" w14:paraId="30B77A9C" w14:textId="77777777">
            <w:pPr>
              <w:spacing w:before="40" w:after="40"/>
            </w:pPr>
            <w:r>
              <w:rPr>
                <w:sz w:val="19"/>
              </w:rPr>
              <w:t>"Geen nieuwe inzichten"</w:t>
            </w:r>
          </w:p>
        </w:tc>
        <w:tc>
          <w:tcPr>
            <w:tcW w:w="4703" w:type="dxa"/>
          </w:tcPr>
          <w:p w:rsidR="00EA5D97" w:rsidRDefault="005311C6" w14:paraId="7BD08AAC" w14:textId="77777777">
            <w:pPr>
              <w:spacing w:before="40" w:after="40"/>
            </w:pPr>
            <w:r>
              <w:rPr>
                <w:sz w:val="19"/>
              </w:rPr>
              <w:t>Brabant 2023/2025 + GEOCAP 2025 = fundamenteel nieuwe inzichten</w:t>
            </w:r>
          </w:p>
        </w:tc>
      </w:tr>
    </w:tbl>
    <w:p w:rsidR="00EA5D97" w:rsidRDefault="00EA5D97" w14:paraId="0E27B00A" w14:textId="77777777"/>
    <w:p w:rsidR="00EA5D97" w:rsidRDefault="005311C6" w14:paraId="18153591" w14:textId="77777777">
      <w:r>
        <w:t xml:space="preserve">Een MER dat in januari 2026 wordt ingediend en geen enkele van deze studies citeert of bespreekt, voldoet niet aan de wettelijke verplichting om de </w:t>
      </w:r>
      <w:r>
        <w:rPr>
          <w:b/>
        </w:rPr>
        <w:t>meest recente wetenschappelijke kennis</w:t>
      </w:r>
      <w:r>
        <w:t xml:space="preserve"> te integreren (MER-richtlijn 2014/52/EU, art. 5, lid 1, sub f).</w:t>
      </w:r>
    </w:p>
    <w:p w:rsidR="00EA5D97" w:rsidRDefault="005311C6" w14:paraId="0B0FA8BE" w14:textId="77777777">
      <w:pPr>
        <w:pStyle w:val="Heading3"/>
      </w:pPr>
      <w:r>
        <w:t>6.8 Kosten-batenanalyse waardeert kinderleukemie op slechts EUR 0,3 tot 0,8 miljoen</w:t>
      </w:r>
    </w:p>
    <w:p w:rsidR="00EA5D97" w:rsidRDefault="0EBEC655" w14:paraId="613EA517" w14:textId="516B118E">
      <w:r>
        <w:t xml:space="preserve">De kosten-batenanalyse (KBA) die het Ventilus-project ondersteunt, waardeert een geval van kinderleukemie bij een kind op slechts </w:t>
      </w:r>
      <w:r w:rsidRPr="0EBEC655">
        <w:rPr>
          <w:b/>
          <w:bCs/>
        </w:rPr>
        <w:t>EUR 0,3 tot 0,8 miljoen</w:t>
      </w:r>
      <w:r>
        <w:t>. Dit bedrag is zowel ethisch als wetenschappelijk onhoudbaar.</w:t>
      </w:r>
    </w:p>
    <w:p w:rsidR="00EA5D97" w:rsidRDefault="005311C6" w14:paraId="5B577845" w14:textId="77777777">
      <w:r>
        <w:rPr>
          <w:b/>
        </w:rPr>
        <w:t>(a) Onderwaardering ten opzichte van internationale standaarden.</w:t>
      </w:r>
      <w:r>
        <w:t xml:space="preserve"> De internationale gezondheidseconomische literatuur hanteert voor de monetaire waardering van gezondheidsschade doorgaans de concepten DALY (Disability-Adjusted Life Year) en QALY (Quality-Adjusted Life Year). De Wereldgezondheidsorganisatie (WHO) en het Europees Milieuagentschap (EEA) waarderen een DALY/QALY doorgaans tussen EUR 50.000 en EUR 150.000. Kinderleukemie impliceert — ook bij succesvolle behandeling — een aanzienlijk verlies aan levensjaren en levenskwaliteit (late effecten van chemotherapie, neurocognitieve gevolgen, verminderde vruchtbaarheid). Een waardering van EUR 0,3 tot 0,8 miljoen voor een volledige casus van kinderleukemie (diagnose, behandeling, langetermijngevolgen, kans op overlijden) onderschat het werkelijke maatschappelijke verlies met minstens een orde van grootte.</w:t>
      </w:r>
    </w:p>
    <w:p w:rsidR="00EA5D97" w:rsidRDefault="0EBEC655" w14:paraId="5BE98173" w14:textId="04A9893A">
      <w:r w:rsidRPr="0EBEC655">
        <w:rPr>
          <w:b/>
          <w:bCs/>
        </w:rPr>
        <w:t>(b) Ethische onhoudbaarheid.</w:t>
      </w:r>
      <w:r>
        <w:t xml:space="preserve"> Het reduceren van kinderleukemie tot een monetair bedrag van minder dan een miljoen euro — minder dan de kostprijs van een woning in België — is ethisch problematisch. Het veronderstelt dat het aanvaardbaar is om kinderen bloot te stellen aan een door het IARC als "mogelijk kankerverwekkend" geclassificeerde stressor, mits de kosten van de resulterende ziektegevallen lager zijn dan de meerkosten van een veiliger alternatief. Dit is een utilitaristische redenering die de fundamentele rechten van het kind (IVRK) miskent.</w:t>
      </w:r>
    </w:p>
    <w:p w:rsidR="00EA5D97" w:rsidRDefault="005311C6" w14:paraId="14D8FF37" w14:textId="77777777">
      <w:r>
        <w:rPr>
          <w:b/>
        </w:rPr>
        <w:t>(c) Juridische consequentie voor de proportionaliteitsafweging.</w:t>
      </w:r>
      <w:r>
        <w:t xml:space="preserve"> De KBA vormt een van de pijlers waarop de rechtvaardiging van het bovengrondse tracé steunt. Indien de monetaire waardering van het ernstigste gezondheidsrisico (kinderleukemie) structureel te laag is, vervalt de conclusie dat de maatschappelijke baten de kosten overstijgen. De vergunningverlenende overheid kan zich niet beroepen op een proportionaliteitsanalyse die het zwaarste gezondheidsrisico met een factor 5 tot 20 onderschat.</w:t>
      </w:r>
    </w:p>
    <w:p w:rsidR="00EA5D97" w:rsidRDefault="00EA5D97" w14:paraId="60061E4C" w14:textId="77777777">
      <w:pPr>
        <w:pBdr>
          <w:bottom w:val="single" w:color="CCCCCC" w:sz="6" w:space="1"/>
        </w:pBdr>
        <w:spacing w:before="240" w:after="240"/>
      </w:pPr>
    </w:p>
    <w:p w:rsidR="00EA5D97" w:rsidRDefault="005311C6" w14:paraId="52973981" w14:textId="77777777">
      <w:pPr>
        <w:pStyle w:val="Heading2"/>
      </w:pPr>
      <w:r>
        <w:t>7. SCHEER-OPINIE EN EUROPESE OMBUDSMAN — ONPARTIJDIGHEID BETWIST</w:t>
      </w:r>
    </w:p>
    <w:p w:rsidR="00EA5D97" w:rsidRDefault="005311C6" w14:paraId="5A18541E" w14:textId="77777777">
      <w:pPr>
        <w:pStyle w:val="Heading3"/>
      </w:pPr>
      <w:r>
        <w:t>7.1 SCHEER-opinie SCHEER/O/063 (november 2023)</w:t>
      </w:r>
    </w:p>
    <w:p w:rsidR="00EA5D97" w:rsidRDefault="005311C6" w14:paraId="4D07FF47" w14:textId="77777777">
      <w:r>
        <w:t xml:space="preserve">Het Scientific Committee on Health, Environmental and Emerging Risks (SCHEER), opvolger van SCENIHR, publiceerde in november 2023 de </w:t>
      </w:r>
      <w:r>
        <w:rPr>
          <w:b/>
        </w:rPr>
        <w:t>opinie SCHEER/O/063</w:t>
      </w:r>
      <w:r>
        <w:t xml:space="preserve"> over de gezondheidseffecten van elektromagnetische velden. Anders dan het MER suggereert, heeft SCHEER het risico van kinderleukemie </w:t>
      </w:r>
      <w:r>
        <w:rPr>
          <w:b/>
        </w:rPr>
        <w:t>niet weerlegd</w:t>
      </w:r>
      <w:r>
        <w:t xml:space="preserve">. De opinie classificeert het bewijs voor een verband tussen ELF-MF en kinderleukemie als </w:t>
      </w:r>
      <w:r>
        <w:rPr>
          <w:b/>
        </w:rPr>
        <w:t>"weak to moderate evidence"</w:t>
      </w:r>
      <w:r>
        <w:t xml:space="preserve"> — zwak tot matig bewijs. Dit is geen ontkenning van het risico, maar een bevestiging dat er voldoende aanwijzingen zijn om het voorzorgsbeginsel te activeren.</w:t>
      </w:r>
    </w:p>
    <w:p w:rsidR="00EA5D97" w:rsidRDefault="005311C6" w14:paraId="37667B76" w14:textId="77777777">
      <w:pPr>
        <w:pStyle w:val="Heading3"/>
      </w:pPr>
      <w:r>
        <w:t>7.2 Europese Ombudsman — formeel onderzoek naar SCHEER (zaak 1898/2025/MIK)</w:t>
      </w:r>
    </w:p>
    <w:p w:rsidR="00EA5D97" w:rsidRDefault="005311C6" w14:paraId="01ADF6CB" w14:textId="77777777">
      <w:r>
        <w:t xml:space="preserve">In oktober 2025 opende de </w:t>
      </w:r>
      <w:r>
        <w:rPr>
          <w:b/>
        </w:rPr>
        <w:t>Europese Ombudsman</w:t>
      </w:r>
      <w:r>
        <w:t xml:space="preserve"> een formeel onderzoek onder </w:t>
      </w:r>
      <w:r>
        <w:rPr>
          <w:b/>
        </w:rPr>
        <w:t>zaaknummer 1898/2025/MIK</w:t>
      </w:r>
      <w:r>
        <w:t xml:space="preserve"> naar de werkwijze van het SCHEER-comite bij de beoordeling van EMF-gezondheidsrisico's. De aanleiding voor dit onderzoek zijn ernstige aanwijzingen van:</w:t>
      </w:r>
    </w:p>
    <w:p w:rsidR="00EA5D97" w:rsidRDefault="005311C6" w14:paraId="75FDA2A9" w14:textId="77777777">
      <w:r>
        <w:rPr>
          <w:b/>
        </w:rPr>
        <w:t>(a) Belangenconflicten bij werkgroepleden.</w:t>
      </w:r>
      <w:r>
        <w:t xml:space="preserve"> De voorzitter van de SCHEER-werkgroep EMF, Theodoros Samaras, is verbonden aan IT'IS Foundation en de telecomsector. Werkgroeplid Ernst Dasenbrock is verbonden aan de Forschungsgemeinschaft Funk (FSM), gefinancierd door de telecomindustrie. Deze banden roepen ernstige twijfels op over de onpartijdigheid van de beoordeling.</w:t>
      </w:r>
    </w:p>
    <w:p w:rsidR="00EA5D97" w:rsidRDefault="005311C6" w14:paraId="6B0B48C3" w14:textId="77777777">
      <w:r>
        <w:rPr>
          <w:b/>
        </w:rPr>
        <w:t>(b) Uitsluiting van kritische experts.</w:t>
      </w:r>
      <w:r>
        <w:t xml:space="preserve"> Wetenschappers met kritische standpunten over EMF-gezondheidsrisico's werden systematisch niet opgenomen in de werkgroep, waardoor een eenzijdige samenstelling ontstond.</w:t>
      </w:r>
    </w:p>
    <w:p w:rsidR="00EA5D97" w:rsidRDefault="005311C6" w14:paraId="19546E9B" w14:textId="77777777">
      <w:r>
        <w:rPr>
          <w:b/>
        </w:rPr>
        <w:t>(c) Selectieve bewijsbeoordeling.</w:t>
      </w:r>
      <w:r>
        <w:t xml:space="preserve"> De werkgroep wordt ervan beschuldigd studies die een risico aantonen systematisch strenger te beoordelen dan studies die geen risico vinden, waardoor de overall beoordeling in de richting van "geen risico" wordt gestuurd.</w:t>
      </w:r>
    </w:p>
    <w:p w:rsidR="00EA5D97" w:rsidRDefault="005311C6" w14:paraId="7E30606B" w14:textId="77777777">
      <w:pPr>
        <w:pStyle w:val="Heading3"/>
      </w:pPr>
      <w:r>
        <w:t>7.3 Wetenschappelijke kritiek op het SCHEER-proces</w:t>
      </w:r>
    </w:p>
    <w:p w:rsidR="00EA5D97" w:rsidRDefault="005311C6" w14:paraId="5C65703B" w14:textId="77777777">
      <w:r>
        <w:t xml:space="preserve">Nyberg R, McCredden JE, Hardell L. </w:t>
      </w:r>
      <w:r>
        <w:rPr>
          <w:i/>
        </w:rPr>
        <w:t>The European Commission's SCHEER preliminary opinion on ELF and IF EMF: Current state of the science or political white wash?</w:t>
      </w:r>
      <w:r>
        <w:t xml:space="preserve"> Reviews on Environmental Health 40(1):97-114. DOI: [10.1515/reveh-2023-0046](https://doi.org/10.1515/reveh-2023-0046).</w:t>
      </w:r>
    </w:p>
    <w:p w:rsidR="00EA5D97" w:rsidRDefault="005311C6" w14:paraId="33931441" w14:textId="77777777">
      <w:r>
        <w:t xml:space="preserve">Dit peer-reviewed artikel documenteert dat het SCHEER-beoordelingsproces </w:t>
      </w:r>
      <w:r>
        <w:rPr>
          <w:b/>
        </w:rPr>
        <w:t>gecompromitteerd</w:t>
      </w:r>
      <w:r>
        <w:t xml:space="preserve"> is. De auteurs beschrijven een </w:t>
      </w:r>
      <w:r>
        <w:rPr>
          <w:i/>
        </w:rPr>
        <w:t>"small self-referencing circle"</w:t>
      </w:r>
      <w:r>
        <w:t xml:space="preserve"> — een kleine groep onderzoekers die elkaars werk citeren en bevestigen, kritische stemmen uitsluiten en aldus een schijn van wetenschappelijke consensus creeren die niet overeenstemt met de breedte van het beschikbare bewijs.</w:t>
      </w:r>
    </w:p>
    <w:p w:rsidR="00EA5D97" w:rsidRDefault="005311C6" w14:paraId="36841D21" w14:textId="77777777">
      <w:pPr>
        <w:pStyle w:val="Heading3"/>
      </w:pPr>
      <w:r>
        <w:t>7.4 Juridische consequentie</w:t>
      </w:r>
    </w:p>
    <w:p w:rsidR="00EA5D97" w:rsidRDefault="005311C6" w14:paraId="5CDBAD04" w14:textId="77777777">
      <w:r>
        <w:t>De combinatie van het formele onderzoek door de Europese Ombudsman (zaak 1898/2025/MIK), de gedocumenteerde belangenconflicten en de peer-reviewed kritiek op het SCHEER-proces heeft een directe juridische consequentie voor het onderhavige dossier:</w:t>
      </w:r>
    </w:p>
    <w:p w:rsidR="00EA5D97" w:rsidRDefault="005311C6" w14:paraId="733578B4" w14:textId="77777777">
      <w:r>
        <w:rPr>
          <w:b/>
        </w:rPr>
        <w:t>Het SCHEER-advies kan niet worden ingeroepen als weerlegging van het voorzorgsbeginsel</w:t>
      </w:r>
      <w:r>
        <w:t xml:space="preserve"> zolang de onpartijdigheid van het comite formeel wordt onderzocht door de Europese Ombudsman. Een vergunningverlenende overheid die haar beslissing baseert op een expertadvies waarvan de onpartijdigheid in een lopend onderzoek wordt betwist, handelt in strijd met het zorgvuldigheidsbeginsel en het beginsel van behoorlijk bestuur.</w:t>
      </w:r>
    </w:p>
    <w:p w:rsidR="00EA5D97" w:rsidRDefault="005311C6" w14:paraId="2B907889" w14:textId="77777777">
      <w:r>
        <w:t>Het MER verwijst naar de evaluatie van het SCHEER-advies door de Universiteit Gent als "momenteel in uitvoering" (MER, p. 13-33). Door de Europese Ombudsman-zaak is echter niet alleen de evaluatie maar het SCHEER-advies zelf juridisch aangetast.</w:t>
      </w:r>
    </w:p>
    <w:p w:rsidR="00EA5D97" w:rsidRDefault="00EA5D97" w14:paraId="44EAFD9C" w14:textId="77777777">
      <w:pPr>
        <w:pBdr>
          <w:bottom w:val="single" w:color="CCCCCC" w:sz="6" w:space="1"/>
        </w:pBdr>
        <w:spacing w:before="240" w:after="240"/>
      </w:pPr>
    </w:p>
    <w:p w:rsidR="00EA5D97" w:rsidRDefault="005311C6" w14:paraId="681F0D1A" w14:textId="77777777">
      <w:pPr>
        <w:pStyle w:val="Heading2"/>
      </w:pPr>
      <w:r>
        <w:t>8. JURIDISCH KADER VOORZORGSBEGINSEL — VERSTERKTE TOEPASSING</w:t>
      </w:r>
    </w:p>
    <w:p w:rsidR="00EA5D97" w:rsidRDefault="005311C6" w14:paraId="31F4AA8E" w14:textId="77777777">
      <w:pPr>
        <w:pStyle w:val="Heading3"/>
      </w:pPr>
      <w:r>
        <w:t>8.1 CJEU Bayer-arrest (C-499/18 P, 6 mei 2021) — voorzorgsbeginsel zonder volledig bewijs</w:t>
      </w:r>
    </w:p>
    <w:p w:rsidR="00EA5D97" w:rsidRDefault="005311C6" w14:paraId="48B74B1C" w14:textId="77777777">
      <w:r>
        <w:t>Het Hof van Justitie van de Europese Unie heeft in het Bayer-arrest van 6 mei 2021 (zaak C-499/18 P, inzake neonicotinoiden en bijensterfte) het voorzorgsbeginsel als volgt gepreciseerd:</w:t>
      </w:r>
    </w:p>
    <w:p w:rsidR="00EA5D97" w:rsidRDefault="005311C6" w14:paraId="7D3E5430" w14:textId="77777777">
      <w:r>
        <w:rPr>
          <w:b/>
        </w:rPr>
        <w:t>(a) Geen uitputtende risicobeoordeling vereist.</w:t>
      </w:r>
      <w:r>
        <w:t xml:space="preserve"> Het Hof oordeelde dat het voorzorgsbeginsel kan worden toegepast op basis van voorlopige wetenschappelijke gegevens. Er is geen vereiste dat een volledige risicobeoordeling is afgerond alvorens beschermende maatregelen te nemen.</w:t>
      </w:r>
    </w:p>
    <w:p w:rsidR="00EA5D97" w:rsidRDefault="005311C6" w14:paraId="51270D1E" w14:textId="77777777">
      <w:r>
        <w:rPr>
          <w:b/>
        </w:rPr>
        <w:t>(b) Maatregelen "zonder te hoeven wachten tot de realiteit en de ernst van die risico's volledig duidelijk worden."</w:t>
      </w:r>
      <w:r>
        <w:t xml:space="preserve"> Het Hof bevestigde expliciet dat preventieve maatregelen kunnen en moeten worden genomen wanneer er aanwijzingen zijn voor een ernstig risico, zonder dat men hoeft te wachten op definitief bewijs van causaliteit.</w:t>
      </w:r>
    </w:p>
    <w:p w:rsidR="00EA5D97" w:rsidRDefault="005311C6" w14:paraId="3E4228F2" w14:textId="77777777">
      <w:r>
        <w:rPr>
          <w:b/>
        </w:rPr>
        <w:t>(c) Lopend onderzoek is geen obstakel.</w:t>
      </w:r>
      <w:r>
        <w:t xml:space="preserve"> Het feit dat wetenschappelijk onderzoek nog gaande is — zoals de evaluatie van het SCHEER-advies door de Universiteit Gent — vormt geen rechtvaardiging om het voorzorgsbeginsel niet toe te passen. Integendeel: het is juist de onzekerheid die de toepassing van het voorzorgsbeginsel activeert.</w:t>
      </w:r>
    </w:p>
    <w:p w:rsidR="00EA5D97" w:rsidRDefault="0EBEC655" w14:paraId="6BB176A7" w14:textId="28713BF6">
      <w:r w:rsidRPr="0EBEC655">
        <w:rPr>
          <w:b/>
          <w:bCs/>
        </w:rPr>
        <w:t xml:space="preserve">(d) </w:t>
      </w:r>
      <w:r w:rsidRPr="0EBEC655" w:rsidR="1BAFA681">
        <w:rPr>
          <w:b/>
          <w:bCs/>
        </w:rPr>
        <w:t>Financiële</w:t>
      </w:r>
      <w:r w:rsidRPr="0EBEC655">
        <w:rPr>
          <w:b/>
          <w:bCs/>
        </w:rPr>
        <w:t xml:space="preserve"> schade is irrelevant.</w:t>
      </w:r>
      <w:r>
        <w:t xml:space="preserve"> Het Hof oordeelde dat de </w:t>
      </w:r>
      <w:r w:rsidR="0CC466A1">
        <w:t>financiële</w:t>
      </w:r>
      <w:r>
        <w:t xml:space="preserve"> belangen van de initiatiefnemer (in casu Bayer) niet opwegen tegen de bescherming van de volksgezondheid en het milieu. Vertaald naar het onderhavige dossier: de meerkosten van verdere ondergrondse aanleg of alternatieve tracekeuzes vormen geen rechtvaardiging om 170 woningen in de IARC Groep 2B-risicozone te brengen.</w:t>
      </w:r>
    </w:p>
    <w:p w:rsidR="00EA5D97" w:rsidRDefault="005311C6" w14:paraId="3A338B6C" w14:textId="77777777">
      <w:r>
        <w:t>De analogie met het Ventilus-project is treffend: zoals bij de neonicotinoiden het verband met bijensterfte niet onomstotelijk was bewezen maar voldoende aanwijzingen bestonden, zo bestaan voor ELF-EMF en kinderleukemie voldoende aanwijzingen (epidemiologisch, experimenteel en mechanistisch bewijs) om het voorzorgsbeginsel streng toe te passen.</w:t>
      </w:r>
    </w:p>
    <w:p w:rsidR="00EA5D97" w:rsidRDefault="005311C6" w14:paraId="3A63E137" w14:textId="77777777">
      <w:pPr>
        <w:pStyle w:val="Heading3"/>
      </w:pPr>
      <w:r>
        <w:t>8.2 Fadeyeva v. Rusland (EHRM, 9 juni 2005) — Artikel 8 EVRM</w:t>
      </w:r>
    </w:p>
    <w:p w:rsidR="00EA5D97" w:rsidRDefault="005311C6" w14:paraId="4B3B24E7" w14:textId="77777777">
      <w:r>
        <w:t xml:space="preserve">Het Europees Hof voor de Rechten van de Mens oordeelde in de zaak </w:t>
      </w:r>
      <w:r>
        <w:rPr>
          <w:b/>
        </w:rPr>
        <w:t>Fadeyeva v. Rusland</w:t>
      </w:r>
      <w:r>
        <w:t xml:space="preserve"> (Application no. 55723/00, 9 juni 2005) dat artikel 8 EVRM (recht op eerbiediging van het prive- en gezinsleven) wordt geschonden wanneer de staat geen </w:t>
      </w:r>
      <w:r>
        <w:rPr>
          <w:b/>
        </w:rPr>
        <w:t>"fair balance"</w:t>
      </w:r>
      <w:r>
        <w:t xml:space="preserve"> vindt tussen het algemeen belang en de bescherming van het individu tegen milieuhinder.</w:t>
      </w:r>
    </w:p>
    <w:p w:rsidR="00EA5D97" w:rsidRDefault="005311C6" w14:paraId="5FEE1EA0" w14:textId="77777777">
      <w:r>
        <w:t>Het Hof oordeelde specifiek dat:</w:t>
      </w:r>
    </w:p>
    <w:p w:rsidR="00EA5D97" w:rsidRDefault="005311C6" w14:paraId="4A1F7CF9" w14:textId="77777777">
      <w:pPr>
        <w:pStyle w:val="ListBullet"/>
        <w:spacing w:after="60"/>
        <w:ind w:left="720"/>
      </w:pPr>
      <w:r>
        <w:t>de staat een positieve verplichting heeft om individuen te beschermen tegen ernstige milieuhinder, ook wanneer deze afkomstig is van particuliere bedrijven;</w:t>
      </w:r>
    </w:p>
    <w:p w:rsidR="00EA5D97" w:rsidRDefault="005311C6" w14:paraId="70E0A6E3" w14:textId="77777777">
      <w:pPr>
        <w:pStyle w:val="ListBullet"/>
        <w:spacing w:after="60"/>
        <w:ind w:left="720"/>
      </w:pPr>
      <w:r>
        <w:t>de ernst van de hinder moet worden beoordeeld in het licht van de beschikbare wetenschappelijke kennis;</w:t>
      </w:r>
    </w:p>
    <w:p w:rsidR="00EA5D97" w:rsidRDefault="005311C6" w14:paraId="51AC7CE5" w14:textId="77777777">
      <w:pPr>
        <w:pStyle w:val="ListBullet"/>
        <w:spacing w:after="60"/>
        <w:ind w:left="720"/>
      </w:pPr>
      <w:r>
        <w:t>een systematisch falen om adequate beschermingsmaatregelen te nemen een schending van artikel 8 oplevert.</w:t>
      </w:r>
    </w:p>
    <w:p w:rsidR="00EA5D97" w:rsidRDefault="0EBEC655" w14:paraId="3872562F" w14:textId="511B09E7">
      <w:r>
        <w:t xml:space="preserve">In het onderhavige dossier worden </w:t>
      </w:r>
      <w:r w:rsidR="45DAB9F9">
        <w:t xml:space="preserve">minstens </w:t>
      </w:r>
      <w:r>
        <w:t xml:space="preserve">170 </w:t>
      </w:r>
      <w:r w:rsidR="3B2D3027">
        <w:t xml:space="preserve">bijkomende </w:t>
      </w:r>
      <w:r>
        <w:t>woningen blootgesteld aan een door het IARC als "mogelijk kankerverwekkend" geclassificeerde stressor, zonder effectscore, zonder bindende maatregelen en met een opzegbaar convenant als enige bescherming. Dit constitueert een manifeste onevenwichtigheid ("no fair balance") tussen het economische belang van de netbeheerder en de bescherming van de gezondheid van omwonenden.</w:t>
      </w:r>
    </w:p>
    <w:p w:rsidR="00EA5D97" w:rsidRDefault="005311C6" w14:paraId="7022A3FE" w14:textId="77777777">
      <w:pPr>
        <w:pStyle w:val="Heading3"/>
      </w:pPr>
      <w:r>
        <w:t>8.3 Artikel 7bis Belgische Grondwet — duurzame ontwikkeling</w:t>
      </w:r>
    </w:p>
    <w:p w:rsidR="00EA5D97" w:rsidRDefault="005311C6" w14:paraId="3794B129" w14:textId="77777777">
      <w:r>
        <w:t>Artikel 7bis van de Belgische Grondwet, ingevoerd in 2007, bepaalt:</w:t>
      </w:r>
    </w:p>
    <w:p w:rsidR="00EA5D97" w:rsidRDefault="005311C6" w14:paraId="4F553AE2" w14:textId="77777777">
      <w:pPr>
        <w:pBdr>
          <w:left w:val="single" w:color="999999" w:sz="12" w:space="8"/>
        </w:pBdr>
        <w:spacing w:before="120"/>
        <w:ind w:left="850"/>
      </w:pPr>
      <w:r>
        <w:rPr>
          <w:i/>
          <w:color w:val="444444"/>
        </w:rPr>
        <w:t>"Bij de uitoefening van hun respectieve bevoegdheden streven de federale Staat, de gemeenschappen en de gewesten de doelstellingen na van een duurzame ontwikkeling in haar sociale, economische en milieugerelateerde componenten, rekening houdend met de solidariteit tussen de generaties."</w:t>
      </w:r>
    </w:p>
    <w:p w:rsidR="00EA5D97" w:rsidRDefault="005311C6" w14:paraId="1FEE3B47" w14:textId="77777777">
      <w:r>
        <w:t>Het blootstellen van toekomstige generaties kinderen aan een "mogelijk kankerverwekkende" stressor, zonder de meest actuele wetenschappelijke kennis te raadplegen en zonder het voorzorgsbeginsel toe te passen, is onverenigbaar met dit grondwettelijk beginsel van intergenerationele solidariteit.</w:t>
      </w:r>
    </w:p>
    <w:p w:rsidR="00EA5D97" w:rsidRDefault="005311C6" w14:paraId="13405F1F" w14:textId="77777777">
      <w:pPr>
        <w:pStyle w:val="Heading3"/>
      </w:pPr>
      <w:r>
        <w:t>8.4 Pfizer-arrest (T-13/99, 2002) — voorzorgsbeginsel als algemeen beginsel</w:t>
      </w:r>
    </w:p>
    <w:p w:rsidR="00EA5D97" w:rsidRDefault="005311C6" w14:paraId="45C892D0" w14:textId="77777777">
      <w:r>
        <w:t xml:space="preserve">Het Gerecht van Eerste Aanleg bevestigde in het Pfizer-arrest (zaak T-13/99, 11 september 2002) het voorzorgsbeginsel als </w:t>
      </w:r>
      <w:r>
        <w:rPr>
          <w:b/>
        </w:rPr>
        <w:t>algemeen beginsel van Unierecht</w:t>
      </w:r>
      <w:r>
        <w:t xml:space="preserve">. Het Gerecht oordeelde dat de overheid moet handelen wanneer er </w:t>
      </w:r>
      <w:r>
        <w:rPr>
          <w:b/>
        </w:rPr>
        <w:t>specifieke, objectieve en samenhangende aanwijzingen</w:t>
      </w:r>
      <w:r>
        <w:t xml:space="preserve"> zijn dat een product of activiteit een risico vormt voor de volksgezondheid.</w:t>
      </w:r>
    </w:p>
    <w:p w:rsidR="00EA5D97" w:rsidRDefault="005311C6" w14:paraId="0B768ACC" w14:textId="77777777">
      <w:r>
        <w:t>De toets is voldaan voor het Ventilus-project:</w:t>
      </w:r>
    </w:p>
    <w:p w:rsidR="00EA5D97" w:rsidRDefault="005311C6" w14:paraId="748A1DFD" w14:textId="77777777">
      <w:pPr>
        <w:pStyle w:val="ListBullet"/>
        <w:spacing w:after="60"/>
        <w:ind w:left="720"/>
      </w:pPr>
      <w:r>
        <w:rPr>
          <w:b/>
        </w:rPr>
        <w:t>Specifiek:</w:t>
      </w:r>
      <w:r>
        <w:t xml:space="preserve"> risico op kinderleukemie bij chronische blootstelling &gt;0,4 µT</w:t>
      </w:r>
    </w:p>
    <w:p w:rsidR="00EA5D97" w:rsidRDefault="005311C6" w14:paraId="69D1A641" w14:textId="77777777">
      <w:pPr>
        <w:pStyle w:val="ListBullet"/>
        <w:spacing w:after="60"/>
        <w:ind w:left="720"/>
      </w:pPr>
      <w:r>
        <w:rPr>
          <w:b/>
        </w:rPr>
        <w:t>Objectief:</w:t>
      </w:r>
      <w:r>
        <w:t xml:space="preserve"> gedocumenteerd door IARC, WHO, Hoge Gezondheidsraad, Klankbordgroep Gezondheid</w:t>
      </w:r>
    </w:p>
    <w:p w:rsidR="00EA5D97" w:rsidRDefault="005311C6" w14:paraId="5D9B71AC" w14:textId="77777777">
      <w:pPr>
        <w:pStyle w:val="ListBullet"/>
        <w:spacing w:after="60"/>
        <w:ind w:left="720"/>
      </w:pPr>
      <w:r>
        <w:rPr>
          <w:b/>
        </w:rPr>
        <w:t>Samenhangend:</w:t>
      </w:r>
      <w:r>
        <w:t xml:space="preserve"> consistent over meerdere decennia en meerdere meta-analyses (OR 1,26-3,2)</w:t>
      </w:r>
    </w:p>
    <w:p w:rsidR="00EA5D97" w:rsidRDefault="005311C6" w14:paraId="448CC3D6" w14:textId="77777777">
      <w:pPr>
        <w:pStyle w:val="Heading3"/>
      </w:pPr>
      <w:r>
        <w:t>8.5 ANSES Frankrijk (2019) — ~40.000 blootgestelde kinderen</w:t>
      </w:r>
    </w:p>
    <w:p w:rsidR="00EA5D97" w:rsidRDefault="005311C6" w14:paraId="50CF06C0" w14:textId="77777777">
      <w:r>
        <w:t>De Franse Agence nationale de sécurité sanitaire (ANSES) publiceerde in 2019 een rapport dat:</w:t>
      </w:r>
    </w:p>
    <w:p w:rsidR="00EA5D97" w:rsidRDefault="005311C6" w14:paraId="5C65DEAD" w14:textId="77777777">
      <w:pPr>
        <w:pStyle w:val="ListBullet"/>
        <w:spacing w:after="60"/>
        <w:ind w:left="720"/>
      </w:pPr>
      <w:r>
        <w:t xml:space="preserve">het bewijsniveau voor de associatie ELF-MF en kinderleukemie als </w:t>
      </w:r>
      <w:r>
        <w:rPr>
          <w:b/>
        </w:rPr>
        <w:t>"beperkt"</w:t>
      </w:r>
      <w:r>
        <w:t xml:space="preserve"> classificeert — voldoende voor voorzorgstoepassing;</w:t>
      </w:r>
    </w:p>
    <w:p w:rsidR="00EA5D97" w:rsidRDefault="005311C6" w14:paraId="2DAE5DE3" w14:textId="77777777">
      <w:pPr>
        <w:pStyle w:val="ListBullet"/>
        <w:spacing w:after="60"/>
        <w:ind w:left="720"/>
      </w:pPr>
      <w:r>
        <w:t xml:space="preserve">aanbeveelt om </w:t>
      </w:r>
      <w:r>
        <w:rPr>
          <w:b/>
        </w:rPr>
        <w:t>geen nieuwe scholen en ziekenhuizen</w:t>
      </w:r>
      <w:r>
        <w:t xml:space="preserve"> te bouwen in de nabijheid van hoogspanningslijnen;</w:t>
      </w:r>
    </w:p>
    <w:p w:rsidR="00EA5D97" w:rsidRDefault="005311C6" w14:paraId="66161BB9" w14:textId="77777777">
      <w:pPr>
        <w:pStyle w:val="ListBullet"/>
        <w:spacing w:after="60"/>
        <w:ind w:left="720"/>
      </w:pPr>
      <w:r>
        <w:t xml:space="preserve">de beroepsmatige blootstelling beter te controleren, </w:t>
      </w:r>
      <w:r>
        <w:rPr>
          <w:b/>
        </w:rPr>
        <w:t>specifiek voor zwangere vrouwen</w:t>
      </w:r>
      <w:r>
        <w:t>;</w:t>
      </w:r>
    </w:p>
    <w:p w:rsidR="00EA5D97" w:rsidRDefault="005311C6" w14:paraId="20008B61" w14:textId="77777777">
      <w:pPr>
        <w:pStyle w:val="ListBullet"/>
        <w:spacing w:after="60"/>
        <w:ind w:left="720"/>
      </w:pPr>
      <w:r>
        <w:t xml:space="preserve">schat dat circa </w:t>
      </w:r>
      <w:r>
        <w:rPr>
          <w:b/>
        </w:rPr>
        <w:t>40.000 kinderen onder 15 jaar</w:t>
      </w:r>
      <w:r>
        <w:t xml:space="preserve"> in Frankrijk chronisch worden blootgesteld aan &gt;0,4 µT in hun woning.</w:t>
      </w:r>
    </w:p>
    <w:p w:rsidR="00EA5D97" w:rsidRDefault="005311C6" w14:paraId="2B6ABD33" w14:textId="77777777">
      <w:r>
        <w:t xml:space="preserve">De ANSES-aanbeveling contrasteert scherp met het Ventilus-project, dat 170 </w:t>
      </w:r>
      <w:r>
        <w:rPr>
          <w:b/>
        </w:rPr>
        <w:t>nieuwe</w:t>
      </w:r>
      <w:r>
        <w:t xml:space="preserve"> woningen binnen de 0,4 µT-contour brengt en waarbij 2 kinderopvangvoorzieningen te Lendelede reeds in de contour liggen.</w:t>
      </w:r>
    </w:p>
    <w:p w:rsidR="00EA5D97" w:rsidRDefault="005311C6" w14:paraId="12473072" w14:textId="77777777">
      <w:pPr>
        <w:pStyle w:val="Heading3"/>
      </w:pPr>
      <w:r>
        <w:t>8.6 Artikel 23 Belgische Grondwet — recht op gezond leefmilieu</w:t>
      </w:r>
    </w:p>
    <w:p w:rsidR="00EA5D97" w:rsidRDefault="005311C6" w14:paraId="54BAD9FB" w14:textId="77777777">
      <w:r>
        <w:t xml:space="preserve">Artikel 23, derde lid, 4° van de Belgische Grondwet waarborgt het </w:t>
      </w:r>
      <w:r>
        <w:rPr>
          <w:b/>
        </w:rPr>
        <w:t>recht op de bescherming van een gezond leefmilieu</w:t>
      </w:r>
      <w:r>
        <w:t>. Dit grondrecht verplicht de overheid tot actieve bescherming en verbiedt handelingen die dit beschermingsniveau verlagen.</w:t>
      </w:r>
    </w:p>
    <w:p w:rsidR="00EA5D97" w:rsidRDefault="005311C6" w14:paraId="43A24D11" w14:textId="77777777">
      <w:r>
        <w:t>Het blootstellen van 170 nieuwe woningen aan een door het IARC als "mogelijk kankerverwekkend" geclassificeerde stressor, met magneetveldwaarden 30-90 keer boven de voorzorgsdrempel, zonder effectscore en zonder bindende maatregelen, is onverenigbaar met dit grondwettelijk beschermingsrecht.</w:t>
      </w:r>
    </w:p>
    <w:p w:rsidR="00EA5D97" w:rsidRDefault="005311C6" w14:paraId="0CD7544E" w14:textId="77777777">
      <w:pPr>
        <w:pStyle w:val="Heading3"/>
      </w:pPr>
      <w:r>
        <w:t>8.7 Overeenkomst 20 september 2023 en de Vlaamse paradox</w:t>
      </w:r>
    </w:p>
    <w:p w:rsidR="00EA5D97" w:rsidRDefault="005311C6" w14:paraId="426F513A" w14:textId="77777777">
      <w:r>
        <w:t xml:space="preserve">De Vlaamse Regering sloot op 20 september 2023 een overeenkomst met netbeheerders (waaronder Elia) om de langdurige blootstelling aan magnetische velden in de nabijheid van woningen, scholen, kinderdagverblijven en crèches te </w:t>
      </w:r>
      <w:r>
        <w:rPr>
          <w:b/>
        </w:rPr>
        <w:t>minimaliseren en verminderen</w:t>
      </w:r>
      <w:r>
        <w:t>.</w:t>
      </w:r>
    </w:p>
    <w:p w:rsidR="00EA5D97" w:rsidRDefault="005311C6" w14:paraId="3BCDCD75" w14:textId="77777777">
      <w:r>
        <w:t xml:space="preserve">Deze overeenkomst creëert een </w:t>
      </w:r>
      <w:r>
        <w:rPr>
          <w:b/>
        </w:rPr>
        <w:t>Vlaamse paradox</w:t>
      </w:r>
      <w:r>
        <w:t xml:space="preserve"> die in vier stappen verloopt:</w:t>
      </w:r>
    </w:p>
    <w:p w:rsidR="00EA5D97" w:rsidP="0EBEC655" w:rsidRDefault="0EBEC655" w14:paraId="57E58091" w14:textId="77777777">
      <w:pPr>
        <w:pStyle w:val="ListNumber"/>
        <w:spacing w:after="60"/>
        <w:rPr/>
      </w:pPr>
      <w:r w:rsidR="2A813C1E">
        <w:rPr/>
        <w:t xml:space="preserve">De Vlaamse overheid </w:t>
      </w:r>
      <w:r w:rsidRPr="3765CEF6" w:rsidR="2A813C1E">
        <w:rPr>
          <w:b w:val="1"/>
          <w:bCs w:val="1"/>
        </w:rPr>
        <w:t>erkent</w:t>
      </w:r>
      <w:r w:rsidR="2A813C1E">
        <w:rPr/>
        <w:t xml:space="preserve"> het risico (Klankbordgroep Gezondheid, minister, Hoge Gezondheidsraad)</w:t>
      </w:r>
    </w:p>
    <w:p w:rsidR="00EA5D97" w:rsidP="0EBEC655" w:rsidRDefault="0EBEC655" w14:paraId="3C1043E6" w14:textId="77777777">
      <w:pPr>
        <w:pStyle w:val="ListNumber"/>
        <w:spacing w:after="60"/>
        <w:rPr/>
      </w:pPr>
      <w:r w:rsidR="2A813C1E">
        <w:rPr/>
        <w:t xml:space="preserve">De Vlaamse overheid </w:t>
      </w:r>
      <w:r w:rsidRPr="3765CEF6" w:rsidR="2A813C1E">
        <w:rPr>
          <w:b w:val="1"/>
          <w:bCs w:val="1"/>
        </w:rPr>
        <w:t>adviseert</w:t>
      </w:r>
      <w:r w:rsidR="2A813C1E">
        <w:rPr/>
        <w:t xml:space="preserve"> voorzorgsmaatregelen en tekent een overeenkomst om blootstelling te minimaliseren</w:t>
      </w:r>
    </w:p>
    <w:p w:rsidR="00EA5D97" w:rsidP="0EBEC655" w:rsidRDefault="0EBEC655" w14:paraId="6DD202B5" w14:textId="77777777">
      <w:pPr>
        <w:pStyle w:val="ListNumber"/>
        <w:spacing w:after="60"/>
        <w:rPr/>
      </w:pPr>
      <w:r w:rsidR="2A813C1E">
        <w:rPr/>
        <w:t xml:space="preserve">De Vlaamse overheid </w:t>
      </w:r>
      <w:r w:rsidRPr="3765CEF6" w:rsidR="2A813C1E">
        <w:rPr>
          <w:b w:val="1"/>
          <w:bCs w:val="1"/>
        </w:rPr>
        <w:t>tekent een overeenkomst</w:t>
      </w:r>
      <w:r w:rsidR="2A813C1E">
        <w:rPr/>
        <w:t xml:space="preserve"> met netbeheerders (waaronder Elia) om chronische blootstelling te minimaliseren</w:t>
      </w:r>
    </w:p>
    <w:p w:rsidR="00EA5D97" w:rsidP="0EBEC655" w:rsidRDefault="0EBEC655" w14:paraId="3C352C8F" w14:textId="77777777">
      <w:pPr>
        <w:pStyle w:val="ListNumber"/>
        <w:spacing w:after="60"/>
        <w:rPr/>
      </w:pPr>
      <w:r w:rsidR="2A813C1E">
        <w:rPr/>
        <w:t xml:space="preserve">Dezelfde Vlaamse overheid </w:t>
      </w:r>
      <w:r w:rsidRPr="3765CEF6" w:rsidR="2A813C1E">
        <w:rPr>
          <w:b w:val="1"/>
          <w:bCs w:val="1"/>
        </w:rPr>
        <w:t>verleent vergunning</w:t>
      </w:r>
      <w:r w:rsidR="2A813C1E">
        <w:rPr/>
        <w:t xml:space="preserve"> voor een project met verwachte magneetveldwaarden die de </w:t>
      </w:r>
      <w:r w:rsidR="2A813C1E">
        <w:rPr/>
        <w:t>voorzorgswaarde</w:t>
      </w:r>
      <w:r w:rsidR="2A813C1E">
        <w:rPr/>
        <w:t xml:space="preserve"> met factor 30-90 overschrijden</w:t>
      </w:r>
    </w:p>
    <w:p w:rsidR="00EA5D97" w:rsidRDefault="0EBEC655" w14:paraId="56282C43" w14:textId="1F41B3F4">
      <w:r>
        <w:t xml:space="preserve">Deze interne tegenstrijdigheid constitueert een schending van het </w:t>
      </w:r>
      <w:r w:rsidRPr="0EBEC655">
        <w:rPr>
          <w:b/>
          <w:bCs/>
        </w:rPr>
        <w:t>vertrouwensbeginsel</w:t>
      </w:r>
      <w:r>
        <w:t xml:space="preserve">: burgers mochten </w:t>
      </w:r>
      <w:r w:rsidR="7598A41A">
        <w:t>erop</w:t>
      </w:r>
      <w:r>
        <w:t xml:space="preserve"> vertrouwen dat de overheid die voorzorgsmaatregelen aankondigt en overeenkomsten tekent, niet tegelijkertijd een project zou vergunnen dat deze voorzorgswaarden met ordes van grootte overschrijdt.</w:t>
      </w:r>
    </w:p>
    <w:p w:rsidR="00EA5D97" w:rsidRDefault="005311C6" w14:paraId="7BC8F524" w14:textId="77777777">
      <w:pPr>
        <w:pStyle w:val="Heading3"/>
      </w:pPr>
      <w:r>
        <w:t>8.8 Besluit Vlaamse Regering VR 2023/1BIS — beleidskader</w:t>
      </w:r>
    </w:p>
    <w:p w:rsidR="00EA5D97" w:rsidRDefault="005311C6" w14:paraId="4951056B" w14:textId="77777777">
      <w:r>
        <w:t>Het Besluit van de Vlaamse Regering VR 2023/1BIS vormt het beleidskader waarbinnen de overeenkomst van 20 september 2023 kadert. Dit besluit erkent impliciet dat het huidige beschermingsniveau onvoldoende is en dat aanvullende maatregelen noodzakelijk zijn. Het verlenen van een vergunning die haaks staat op dit beleidskader, is strijdig met de beginselen van behoorlijk bestuur.</w:t>
      </w:r>
    </w:p>
    <w:p w:rsidR="00EA5D97" w:rsidRDefault="005311C6" w14:paraId="6D405356" w14:textId="77777777">
      <w:pPr>
        <w:pStyle w:val="Heading3"/>
      </w:pPr>
      <w:r>
        <w:t>8.9 Woningaankoop door Elia — impliciete erkenning van gezondheids- en leefbaarheidsrisico's</w:t>
      </w:r>
    </w:p>
    <w:p w:rsidR="00EA5D97" w:rsidRDefault="0EBEC655" w14:paraId="3B21DCA3" w14:textId="2E0E833F">
      <w:r>
        <w:t>Elia Asset NV</w:t>
      </w:r>
      <w:r w:rsidR="525BA017">
        <w:t xml:space="preserve"> koopt</w:t>
      </w:r>
      <w:r>
        <w:t xml:space="preserve"> </w:t>
      </w:r>
      <w:r w:rsidRPr="0EBEC655">
        <w:rPr>
          <w:b/>
          <w:bCs/>
        </w:rPr>
        <w:t>proactief woningen op</w:t>
      </w:r>
      <w:r w:rsidRPr="0EBEC655" w:rsidR="635D75D6">
        <w:rPr>
          <w:b/>
          <w:bCs/>
        </w:rPr>
        <w:t xml:space="preserve"> </w:t>
      </w:r>
      <w:r>
        <w:t xml:space="preserve">in de nabijheid van het geplande trace en deze vervolgens doorverkoopt . Deze praktijk constitueert een </w:t>
      </w:r>
      <w:r w:rsidRPr="0EBEC655">
        <w:rPr>
          <w:b/>
          <w:bCs/>
        </w:rPr>
        <w:t>impliciete erkenning</w:t>
      </w:r>
      <w:r>
        <w:t xml:space="preserve"> door de initiatiefnemer zelf dat het project zodanige gezondheids- of leefbaarheidsrisico's met zich meebrengt dat het wonen in de directe nabijheid ervan problematisch wordt.</w:t>
      </w:r>
    </w:p>
    <w:p w:rsidR="00EA5D97" w:rsidRDefault="0EBEC655" w14:paraId="68DE9E08" w14:textId="42080B3D">
      <w:r>
        <w:t xml:space="preserve">Dit argument heeft een bijzondere juridische bewijskracht: het betreft een </w:t>
      </w:r>
      <w:r w:rsidRPr="0EBEC655">
        <w:rPr>
          <w:b/>
          <w:bCs/>
        </w:rPr>
        <w:t>handeling van de initiatiefnemer zelf</w:t>
      </w:r>
      <w:r>
        <w:t xml:space="preserve"> die in tegenspraak is met de eigen bewering in het MER dat er "geen significant gezondheidseffect" is. </w:t>
      </w:r>
      <w:r w:rsidR="0193B2AA">
        <w:t>Als</w:t>
      </w:r>
      <w:r>
        <w:t xml:space="preserve"> het project werkelijk veilig was en de blootstelling aan elektromagnetische velden geen </w:t>
      </w:r>
      <w:r w:rsidR="3270F69E">
        <w:t>reëel</w:t>
      </w:r>
      <w:r>
        <w:t xml:space="preserve"> risico vormde, zou de aankoop van woningen door Elia overbodig en bedrijfseconomisch onverantwoord zijn. De eigen handelwijze van de aanvrager weerlegt aldus de conclusie van het door de aanvrager opgestelde MER — een argumentatie die men kan samenvatten als "Elia tegen Elia".</w:t>
      </w:r>
    </w:p>
    <w:p w:rsidR="00EA5D97" w:rsidRDefault="005311C6" w14:paraId="72C2E9B5" w14:textId="77777777">
      <w:r>
        <w:t>De woningaankoop door Elia versterkt de toepassing van het voorzorgsbeginsel op twee manieren:</w:t>
      </w:r>
    </w:p>
    <w:p w:rsidR="00EA5D97" w:rsidP="0EBEC655" w:rsidRDefault="0EBEC655" w14:paraId="6135E8BC" w14:textId="77777777">
      <w:pPr>
        <w:pStyle w:val="ListNumber"/>
        <w:spacing w:after="60"/>
        <w:rPr/>
      </w:pPr>
      <w:r w:rsidRPr="3765CEF6" w:rsidR="2A813C1E">
        <w:rPr>
          <w:b w:val="1"/>
          <w:bCs w:val="1"/>
        </w:rPr>
        <w:t>Feitelijke erkenning van het risico.</w:t>
      </w:r>
      <w:r w:rsidR="2A813C1E">
        <w:rPr/>
        <w:t xml:space="preserve"> Wanneer de initiatiefnemer zelf het nodig acht om woningen te verwijderen uit de impactzone, erkent hij feitelijk dat de blootstelling in die zone onaanvaardbaar is. Dit feitelijk gedrag weegt zwaarder dan de formele stellingname in het MER.</w:t>
      </w:r>
    </w:p>
    <w:p w:rsidR="00EA5D97" w:rsidP="0EBEC655" w:rsidRDefault="0EBEC655" w14:paraId="577B7388" w14:textId="1A9E5694">
      <w:pPr>
        <w:pStyle w:val="ListNumber"/>
        <w:spacing w:after="60"/>
        <w:rPr/>
      </w:pPr>
      <w:r w:rsidRPr="3765CEF6" w:rsidR="2A813C1E">
        <w:rPr>
          <w:b w:val="1"/>
          <w:bCs w:val="1"/>
        </w:rPr>
        <w:t>Ongelijke behandeling van omwonenden.</w:t>
      </w:r>
      <w:r w:rsidR="2A813C1E">
        <w:rPr/>
        <w:t xml:space="preserve"> De aankoop geldt slechts voor een beperkt aantal woningen, terwijl het MER 170 nieuwe woningen in de 0,4 </w:t>
      </w:r>
      <w:r w:rsidR="2A813C1E">
        <w:rPr/>
        <w:t>uT</w:t>
      </w:r>
      <w:r w:rsidR="2A813C1E">
        <w:rPr/>
        <w:t xml:space="preserve"> contour documenteert. Omwonenden wier woning niet wordt opgekocht maar die aan dezelfde of vergelijkbare blootstelling worden onderworpen, genieten geen enkele bescherming. Dit </w:t>
      </w:r>
      <w:r w:rsidR="39D2DC8B">
        <w:rPr/>
        <w:t>creëert</w:t>
      </w:r>
      <w:r w:rsidR="2A813C1E">
        <w:rPr/>
        <w:t xml:space="preserve"> een discriminatoire situatie die in strijd is met het gelijkheidsbeginsel (art. 10 en 11 Grondwet).</w:t>
      </w:r>
    </w:p>
    <w:p w:rsidR="00EA5D97" w:rsidRDefault="005311C6" w14:paraId="2520CEF7" w14:textId="77777777">
      <w:pPr>
        <w:pStyle w:val="Heading3"/>
      </w:pPr>
      <w:r>
        <w:t>8.10 Regelgevende inconsistenties — Binnenmilieubesluit versus buitenbescherming</w:t>
      </w:r>
    </w:p>
    <w:p w:rsidR="00EA5D97" w:rsidRDefault="0EBEC655" w14:paraId="39FDB7A1" w14:textId="0BD55199">
      <w:r>
        <w:t xml:space="preserve">Het Vlaamse </w:t>
      </w:r>
      <w:r w:rsidRPr="0EBEC655">
        <w:rPr>
          <w:b/>
          <w:bCs/>
        </w:rPr>
        <w:t>Binnenmilieubesluit</w:t>
      </w:r>
      <w:r>
        <w:t xml:space="preserve"> (Besluit van de Vlaamse Regering houdende maatregelen ter bestrijding van de gezondheidsrisico's door verontreiniging van het binnenmilieu) hanteert een </w:t>
      </w:r>
      <w:r w:rsidRPr="0EBEC655">
        <w:rPr>
          <w:b/>
          <w:bCs/>
        </w:rPr>
        <w:t>actieniveau van 20 uT</w:t>
      </w:r>
      <w:r>
        <w:t xml:space="preserve"> voor magnetische velden in binnenruimten. Boven dit niveau worden maatregelen aanbevolen om de blootstelling te verlagen.</w:t>
      </w:r>
    </w:p>
    <w:p w:rsidR="00EA5D97" w:rsidP="0EBEC655" w:rsidRDefault="0EBEC655" w14:paraId="5F0A24D0" w14:textId="5DCC9A2D">
      <w:r>
        <w:t xml:space="preserve">Dit Binnenmilieubesluit </w:t>
      </w:r>
      <w:r w:rsidR="1043DE70">
        <w:t xml:space="preserve">legt </w:t>
      </w:r>
      <w:r>
        <w:t xml:space="preserve">een fundamentele </w:t>
      </w:r>
      <w:r w:rsidRPr="0EBEC655">
        <w:rPr>
          <w:b/>
          <w:bCs/>
        </w:rPr>
        <w:t>regelgevende inconsistentie</w:t>
      </w:r>
      <w:r>
        <w:t xml:space="preserve"> in de Vlaamse bescherming</w:t>
      </w:r>
      <w:r w:rsidR="62898BF1">
        <w:t xml:space="preserve"> bloot</w:t>
      </w:r>
      <w:r>
        <w:t xml:space="preserve"> tegen elektromagnetische velden:</w:t>
      </w:r>
    </w:p>
    <w:p w:rsidR="00EA5D97" w:rsidRDefault="005311C6" w14:paraId="52D90D6C" w14:textId="77777777">
      <w:r>
        <w:rPr>
          <w:b/>
        </w:rPr>
        <w:t>(a) Magnetische velden stoppen niet aan gevels.</w:t>
      </w:r>
      <w:r>
        <w:t xml:space="preserve"> Het onderscheid tussen "binnen" en "buiten" is voor laagfrequente magnetische velden fysisch betekenisloos. Magnetische velden van 50 Hz penetreren bakstenen, beton, glas en isolatie vrijwel ongehinderd. Een woning die zich op 30 meter van een 380 kV-lijn bevindt, wordt zowel binnen als buiten aan nagenoeg hetzelfde magnetisch veld blootgesteld. Het Binnenmilieubesluit beschermt de bewoner </w:t>
      </w:r>
      <w:r>
        <w:rPr>
          <w:b/>
        </w:rPr>
        <w:t>binnen</w:t>
      </w:r>
      <w:r>
        <w:t xml:space="preserve"> zijn woning tegen blootstelling boven 20 uT, maar diezelfde bewoner geniet </w:t>
      </w:r>
      <w:r>
        <w:rPr>
          <w:b/>
        </w:rPr>
        <w:t>buiten</w:t>
      </w:r>
      <w:r>
        <w:t xml:space="preserve"> — in zijn tuin, op het trottoir, op de speelplaats van zijn kinderen — geen enkele bescherming.</w:t>
      </w:r>
    </w:p>
    <w:p w:rsidR="00EA5D97" w:rsidRDefault="005311C6" w14:paraId="27479125" w14:textId="77777777">
      <w:r>
        <w:rPr>
          <w:b/>
        </w:rPr>
        <w:t>(b) Ventilus-velden in relatie tot het actieniveau.</w:t>
      </w:r>
      <w:r>
        <w:t xml:space="preserve"> Het MER documenteert magnetische veldwaarden van </w:t>
      </w:r>
      <w:r>
        <w:rPr>
          <w:b/>
        </w:rPr>
        <w:t>12 tot 37 uT</w:t>
      </w:r>
      <w:r>
        <w:t xml:space="preserve"> in de directe nabijheid van de bovengrondse 380 kV-verbinding (bij de gehanteerde belastingsfactor van 30%). Bij hogere belastingsscenario's (80-100%, zoals gesignaleerd door de gemeente Harelbeke) stijgen deze waarden evenredig. Dit betekent dat de magnetische veldwaarden nabij de Ventilus-verbinding in dezelfde orde van grootte liggen als — of zelfs het actieniveau van het Binnenmilieubesluit overschrijden. Indien 20 uT binnenshuis reden is voor actie, dan is blootstelling aan 12-37 uT buitenshuis evenzeer problematisch vanuit gezondheidsoogpunt.</w:t>
      </w:r>
    </w:p>
    <w:p w:rsidR="00EA5D97" w:rsidRDefault="005311C6" w14:paraId="04CBE4F8" w14:textId="77777777">
      <w:r>
        <w:rPr>
          <w:b/>
        </w:rPr>
        <w:t>(c) Juridische consequentie.</w:t>
      </w:r>
      <w:r>
        <w:t xml:space="preserve"> De Vlaamse regelgever heeft door het vaststellen van het actieniveau van 20 uT in het Binnenmilieubesluit impliciet erkend dat langdurige blootstelling aan magnetische velden boven dit niveau een gezondheidsrisico vormt. Het is inconsistent en in strijd met het </w:t>
      </w:r>
      <w:r>
        <w:rPr>
          <w:b/>
        </w:rPr>
        <w:t>gelijkheidsbeginsel</w:t>
      </w:r>
      <w:r>
        <w:t xml:space="preserve"> (art. 10-11 Grondwet) en het </w:t>
      </w:r>
      <w:r>
        <w:rPr>
          <w:b/>
        </w:rPr>
        <w:t>coherentiebeginsel</w:t>
      </w:r>
      <w:r>
        <w:t xml:space="preserve"> van behoorlijk bestuur dat diezelfde regelgever vervolgens een project vergunt dat omwonenden permanent blootstelt aan vergelijkbare of hogere waarden, louter omdat de blootstelling zich deels buiten de woning voordoet.</w:t>
      </w:r>
    </w:p>
    <w:p w:rsidR="00EA5D97" w:rsidRDefault="005311C6" w14:paraId="39CF9C45" w14:textId="77777777">
      <w:pPr>
        <w:pStyle w:val="Heading3"/>
      </w:pPr>
      <w:r>
        <w:t>8.11 Richtlijn 2013/35/EU — werknemersbescherming versus burgerbescherming</w:t>
      </w:r>
    </w:p>
    <w:p w:rsidR="00EA5D97" w:rsidRDefault="0EBEC655" w14:paraId="5C9716BD" w14:textId="7F6B7486">
      <w:r>
        <w:t xml:space="preserve">De Europese </w:t>
      </w:r>
      <w:r w:rsidRPr="0EBEC655">
        <w:rPr>
          <w:b/>
          <w:bCs/>
        </w:rPr>
        <w:t>Richtlijn 2013/35/EU</w:t>
      </w:r>
      <w:r>
        <w:t xml:space="preserve"> van het Europees Parlement en de Raad van 26 juni 2013 betreffende de minimumvoorschriften inzake gezondheid en veiligheid met betrekking tot de blootstelling van werknemers aan de risico's van elektromagnetische velden, verplicht werkgevers om hun werknemers actief te beschermen tegen de risico's van blootstelling aan elektromagnetische velden. De richtlijn voorziet in actiedrempels en grenswaarden en vereist een risicobeoordeling, voorlichting en zo nodig technische of organisatorische beschermingsmaatregelen.</w:t>
      </w:r>
    </w:p>
    <w:p w:rsidR="00EA5D97" w:rsidP="0EBEC655" w:rsidRDefault="0EBEC655" w14:paraId="24402C17" w14:textId="3BE696E9">
      <w:r>
        <w:t xml:space="preserve">Deze richtlijn </w:t>
      </w:r>
      <w:r w:rsidR="5CFF155E">
        <w:t xml:space="preserve">legt </w:t>
      </w:r>
      <w:r>
        <w:t>een tweede regelgevende inconsistentie</w:t>
      </w:r>
      <w:r w:rsidR="671B76C0">
        <w:t xml:space="preserve"> bloot</w:t>
      </w:r>
      <w:r>
        <w:t>:</w:t>
      </w:r>
    </w:p>
    <w:p w:rsidR="00EA5D97" w:rsidRDefault="005311C6" w14:paraId="77C52317" w14:textId="77777777">
      <w:r>
        <w:rPr>
          <w:b/>
        </w:rPr>
        <w:t>(a) Werknemers worden beschermd, burgers niet.</w:t>
      </w:r>
      <w:r>
        <w:t xml:space="preserve"> Een werknemer die tijdens zijn werkdag (8 uur) wordt blootgesteld aan magnetische velden nabij een hoogspanningsinstallatie heeft recht op een volledige risicobeoordeling en beschermingsmaatregelen. Een burger — inclusief kinderen, zwangere vrouwen en ouderen — die </w:t>
      </w:r>
      <w:r>
        <w:rPr>
          <w:b/>
        </w:rPr>
        <w:t>permanent</w:t>
      </w:r>
      <w:r>
        <w:t xml:space="preserve"> (24 uur per dag, 365 dagen per jaar) naast diezelfde 380 kV-verbinding woont, geniet geen vergelijkbare bescherming. De blootstellingsduur van de omwonende is minstens driemaal langer dan die van de werknemer, terwijl de kwetsbaarheid (met name van kinderen) groter is.</w:t>
      </w:r>
    </w:p>
    <w:p w:rsidR="00EA5D97" w:rsidRDefault="005311C6" w14:paraId="21866BEE" w14:textId="77777777">
      <w:r>
        <w:rPr>
          <w:b/>
        </w:rPr>
        <w:t>(b) Schending van het gelijkheidsbeginsel.</w:t>
      </w:r>
      <w:r>
        <w:t xml:space="preserve"> Het verschil in beschermingsniveau tussen werknemers en burgers is niet objectief gerechtvaardigd. Het valt niet in te zien waarom een werknemer die enkele uren per dag wordt blootgesteld recht heeft op beschermingsmaatregelen, terwijl een kind dat permanent naast de verbinding woont dat recht niet heeft. Deze ongelijkheid raakt het gelijkheidsbeginsel (art. 10-11 Grondwet) en het non-discriminatiebeginsel.</w:t>
      </w:r>
    </w:p>
    <w:p w:rsidR="00EA5D97" w:rsidRDefault="0EBEC655" w14:paraId="2AAF8F28" w14:textId="0A2C185D">
      <w:r w:rsidRPr="0EBEC655">
        <w:rPr>
          <w:b/>
          <w:bCs/>
        </w:rPr>
        <w:t>(c) Versterking van het voorzorgsargument.</w:t>
      </w:r>
      <w:r>
        <w:t xml:space="preserve"> Het bestaan van Richtlijn 2013/35/EU bevestigt dat de Europese wetgever ELF-EMF-blootstelling als een </w:t>
      </w:r>
      <w:r w:rsidR="1DE3DAE7">
        <w:t>reëel</w:t>
      </w:r>
      <w:r>
        <w:t xml:space="preserve"> gezondheidsrisico beschouwt — een risico dat beschermingsmaatregelen rechtvaardigt. Het is incoherent dat diezelfde Europese rechtsorde werknemers beschermt maar permanent blootgestelde burgers niet. De vergunningverlenende overheid dient deze regelgevende inconsistentie mee te wegen bij de toepassing van het voorzorgsbeginsel.</w:t>
      </w:r>
    </w:p>
    <w:p w:rsidR="00EA5D97" w:rsidRDefault="0EBEC655" w14:paraId="7182DBF2" w14:textId="325E670D">
      <w:r>
        <w:t xml:space="preserve">De regelgevende inconsistenties beschreven in secties 8.10 en 8.11 tonen aan dat het Vlaamse en Europese regelgevend kader </w:t>
      </w:r>
      <w:r w:rsidRPr="0EBEC655">
        <w:rPr>
          <w:b/>
          <w:bCs/>
        </w:rPr>
        <w:t>impliciet erkent</w:t>
      </w:r>
      <w:r>
        <w:t xml:space="preserve"> dat ELF-EMF-blootstelling een gezondheidsrisico vormt (Binnenmilieubesluit: actieniveau 20 uT; Richtlijn 2013/35/EU: werknemersbescherming), maar dat de bescherming van permanent blootgestelde omwonenden — de meest kwetsbare groep — in een </w:t>
      </w:r>
      <w:r w:rsidRPr="0EBEC655">
        <w:rPr>
          <w:b/>
          <w:bCs/>
        </w:rPr>
        <w:t>juridisch vacuüm</w:t>
      </w:r>
      <w:r>
        <w:t xml:space="preserve"> valt. Het Ventilus-project exploiteert dit vacuüm door</w:t>
      </w:r>
      <w:r w:rsidR="0DE738A2">
        <w:t xml:space="preserve"> </w:t>
      </w:r>
      <w:r>
        <w:t xml:space="preserve"> 170 woningen in de IARC Groep 2B-risicozone te brengen zonder bindende beschermingsmaatregelen. De vergunningverlenende overheid kan dit vacuüm niet als rechtvaardiging gebruiken: het voorzorgsbeginsel (art. 191 lid 2 VWEU) verplicht juist tot bescherming wanneer de regelgeving ontoereikend is.</w:t>
      </w:r>
    </w:p>
    <w:p w:rsidR="00EA5D97" w:rsidRDefault="00EA5D97" w14:paraId="4B94D5A5" w14:textId="77777777">
      <w:pPr>
        <w:pBdr>
          <w:bottom w:val="single" w:color="CCCCCC" w:sz="6" w:space="1"/>
        </w:pBdr>
        <w:spacing w:before="240" w:after="240"/>
      </w:pPr>
    </w:p>
    <w:p w:rsidR="00EA5D97" w:rsidRDefault="005311C6" w14:paraId="2D01260E" w14:textId="77777777">
      <w:pPr>
        <w:pStyle w:val="Heading2"/>
      </w:pPr>
      <w:r>
        <w:t>9. CORONA-IONEN EN LUCHTKWALITEIT — ONBESPROKEN GEZONDHEIDSRISICO</w:t>
      </w:r>
    </w:p>
    <w:p w:rsidR="00EA5D97" w:rsidRDefault="005311C6" w14:paraId="40BEFCAE" w14:textId="77777777">
      <w:pPr>
        <w:pStyle w:val="Heading3"/>
      </w:pPr>
      <w:r>
        <w:t>9.1 Vaststelling: interne contradictie in het MER</w:t>
      </w:r>
    </w:p>
    <w:p w:rsidR="00EA5D97" w:rsidRDefault="005311C6" w14:paraId="5FCC3FAA" w14:textId="77777777">
      <w:r>
        <w:t xml:space="preserve">Het MER Ventilus v4 bevat een </w:t>
      </w:r>
      <w:r>
        <w:rPr>
          <w:b/>
        </w:rPr>
        <w:t>fundamentele interne tegenstrijdigheid</w:t>
      </w:r>
      <w:r>
        <w:t xml:space="preserve"> met betrekking tot de luchtkwaliteitseffecten van de hoogspanningsverbinding:</w:t>
      </w:r>
    </w:p>
    <w:p w:rsidR="00EA5D97" w:rsidRDefault="005311C6" w14:paraId="067490C9" w14:textId="77777777">
      <w:r>
        <w:rPr>
          <w:b/>
        </w:rPr>
        <w:t>Enerzijds</w:t>
      </w:r>
      <w:r>
        <w:t xml:space="preserve"> stelt Hoofdstuk 13 (Gezondheid), sectie 13.5.2.2:</w:t>
      </w:r>
    </w:p>
    <w:p w:rsidR="00EA5D97" w:rsidRDefault="005311C6" w14:paraId="620EB18E" w14:textId="77777777">
      <w:pPr>
        <w:pBdr>
          <w:left w:val="single" w:color="999999" w:sz="12" w:space="8"/>
        </w:pBdr>
        <w:spacing w:before="120"/>
        <w:ind w:left="850"/>
      </w:pPr>
      <w:r>
        <w:rPr>
          <w:i/>
          <w:color w:val="444444"/>
        </w:rPr>
        <w:t>"Tijdens de exploitatiefase zijn geen bronnen van luchtemissies aanwezig. Er is geen effect."</w:t>
      </w:r>
    </w:p>
    <w:p w:rsidR="00EA5D97" w:rsidRDefault="005311C6" w14:paraId="541F8CA7" w14:textId="77777777">
      <w:r>
        <w:rPr>
          <w:b/>
        </w:rPr>
        <w:t>Anderzijds</w:t>
      </w:r>
      <w:r>
        <w:t xml:space="preserve"> erkent hetzelfde MER op meerdere plaatsen dat er wel degelijk emissies zijn:</w:t>
      </w:r>
    </w:p>
    <w:p w:rsidR="00EA5D97" w:rsidRDefault="0EBEC655" w14:paraId="6A981931" w14:textId="4EE8F176">
      <w:pPr>
        <w:pStyle w:val="ListBullet"/>
        <w:spacing w:after="60"/>
        <w:ind w:left="720"/>
      </w:pPr>
      <w:r w:rsidRPr="0EBEC655">
        <w:rPr>
          <w:b/>
          <w:bCs/>
        </w:rPr>
        <w:t>Hoofdstuk 19</w:t>
      </w:r>
      <w:r>
        <w:t xml:space="preserve"> (Leemte in de kennis, p. 61) vermeldt: </w:t>
      </w:r>
      <w:r w:rsidRPr="0EBEC655">
        <w:rPr>
          <w:i/>
          <w:iCs/>
        </w:rPr>
        <w:t xml:space="preserve">"Er zijn geen gegevens bekend over het gebruik van regenwater, omwille van elektrisch geladenheid of vervuiling door extra </w:t>
      </w:r>
      <w:r w:rsidRPr="0EBEC655" w:rsidR="20F082C3">
        <w:rPr>
          <w:i/>
          <w:iCs/>
        </w:rPr>
        <w:t>geïoniseerd</w:t>
      </w:r>
      <w:r w:rsidRPr="0EBEC655">
        <w:rPr>
          <w:i/>
          <w:iCs/>
        </w:rPr>
        <w:t xml:space="preserve"> of elektrisch geladen fijn stof."</w:t>
      </w:r>
      <w:r>
        <w:t xml:space="preserve"> Dit impliceert dat het MER zelf erkent dat de hoogspanningsverbinding fijn stof elektrisch oplaadt.</w:t>
      </w:r>
    </w:p>
    <w:p w:rsidR="00EA5D97" w:rsidRDefault="005311C6" w14:paraId="0926588D" w14:textId="77777777">
      <w:pPr>
        <w:pStyle w:val="ListBullet"/>
        <w:spacing w:after="60"/>
        <w:ind w:left="720"/>
      </w:pPr>
      <w:r>
        <w:rPr>
          <w:b/>
        </w:rPr>
        <w:t>Hoofdstuk 18</w:t>
      </w:r>
      <w:r>
        <w:t xml:space="preserve"> (p. 5) erkent dat de gekozen HTLS-geleiders (High Temperature Low Sag) een </w:t>
      </w:r>
      <w:r>
        <w:rPr>
          <w:b/>
        </w:rPr>
        <w:t>hoger corona-risico</w:t>
      </w:r>
      <w:r>
        <w:t xml:space="preserve"> hebben dan conventionele geleiders, vanwege de hogere bedrijfstemperatuur en de daarmee gepaard gaande grotere elektrische veldsterkte aan het geleideroppervlak.</w:t>
      </w:r>
    </w:p>
    <w:p w:rsidR="00EA5D97" w:rsidRDefault="0EBEC655" w14:paraId="055E2F51" w14:textId="04BB429E">
      <w:pPr>
        <w:pStyle w:val="ListBullet"/>
        <w:spacing w:after="60"/>
        <w:ind w:left="720"/>
      </w:pPr>
      <w:r w:rsidRPr="0EBEC655">
        <w:rPr>
          <w:b/>
          <w:bCs/>
        </w:rPr>
        <w:t>Hoofdstuk 13</w:t>
      </w:r>
      <w:r>
        <w:t xml:space="preserve"> erkent dat de grenswaarden voor luchtkwaliteit (GAW) voor NO2, PM10 en PM2,5 </w:t>
      </w:r>
      <w:r w:rsidRPr="0EBEC655">
        <w:rPr>
          <w:b/>
          <w:bCs/>
        </w:rPr>
        <w:t>reeds worden overschreden</w:t>
      </w:r>
      <w:r>
        <w:t xml:space="preserve"> bij de meetstations Gezelle en Izegem, in de directe omgeving van het </w:t>
      </w:r>
      <w:r w:rsidR="223E2588">
        <w:t>tracé</w:t>
      </w:r>
      <w:r>
        <w:t>.</w:t>
      </w:r>
    </w:p>
    <w:p w:rsidR="00EA5D97" w:rsidRDefault="005311C6" w14:paraId="2873867C" w14:textId="77777777">
      <w:pPr>
        <w:pStyle w:val="Heading3"/>
      </w:pPr>
      <w:r>
        <w:t>9.2 Het fysische mechanisme: corona-ionen en geladen fijnstof</w:t>
      </w:r>
    </w:p>
    <w:p w:rsidR="00EA5D97" w:rsidRDefault="005311C6" w14:paraId="640DC7A6" w14:textId="77777777">
      <w:r>
        <w:t>Het verschijnsel van corona-ontlading bij hoogspanningslijnen is sinds decennia wetenschappelijk gedocumenteerd. Het mechanisme verloopt als volgt:</w:t>
      </w:r>
    </w:p>
    <w:p w:rsidR="00EA5D97" w:rsidRDefault="005311C6" w14:paraId="59918E6E" w14:textId="77777777">
      <w:r>
        <w:rPr>
          <w:b/>
        </w:rPr>
        <w:t>(a) Corona-ontlading en ionvorming.</w:t>
      </w:r>
      <w:r>
        <w:t xml:space="preserve"> Bij voldoende hoge elektrische veldsterkte aan het oppervlak van de geleider (met name bij vochtige omstandigheden, neerslag, of verontreiniging van het geleideroppervlak) treedt corona-ontlading op. Dit is een gedeeltelijke elektrische ontlading die luchtmoleculen ioniseert en </w:t>
      </w:r>
      <w:r>
        <w:rPr>
          <w:b/>
        </w:rPr>
        <w:t>corona-ionen</w:t>
      </w:r>
      <w:r>
        <w:t xml:space="preserve"> produceert.</w:t>
      </w:r>
    </w:p>
    <w:p w:rsidR="00EA5D97" w:rsidRDefault="005311C6" w14:paraId="51692AB6" w14:textId="77777777">
      <w:r>
        <w:rPr>
          <w:b/>
        </w:rPr>
        <w:t>(b) Oplading van omgevingsfijnstof.</w:t>
      </w:r>
      <w:r>
        <w:t xml:space="preserve"> De geproduceerde corona-ionen hechten zich aan fijnstofdeeltjes (PM2,5, ultrafijn stof) in de omgevingslucht. Aangezien het Ventilus-trace over significante afstand parallel loopt aan de E403 autosnelweg, is er een constante bron van fijnstof in de directe nabijheid van de geleiders. Het E403-verkeersfijnstof wordt aldus elektrisch geladen door de corona-ionen van de hoogspanningslijn.</w:t>
      </w:r>
    </w:p>
    <w:p w:rsidR="00EA5D97" w:rsidRDefault="005311C6" w14:paraId="24B20EC3" w14:textId="77777777">
      <w:r>
        <w:rPr>
          <w:b/>
        </w:rPr>
        <w:t>(c) Verhoogde longdepositie.</w:t>
      </w:r>
      <w:r>
        <w:t xml:space="preserve"> Elektrisch geladen fijnstofdeeltjes zetten zich significant meer af in de menselijke luchtwegen dan ongeladen deeltjes. Cohen et al. (1998) documenteerden een verhoging van de longdepositie met een factor </w:t>
      </w:r>
      <w:r>
        <w:rPr>
          <w:b/>
        </w:rPr>
        <w:t>tot 3,4</w:t>
      </w:r>
      <w:r>
        <w:t xml:space="preserve"> voor geladen deeltjes ten opzichte van ongeladen deeltjes van dezelfde grootte.</w:t>
      </w:r>
    </w:p>
    <w:p w:rsidR="00EA5D97" w:rsidRDefault="005311C6" w14:paraId="183BBFC1" w14:textId="77777777">
      <w:pPr>
        <w:pBdr>
          <w:left w:val="single" w:color="999999" w:sz="12" w:space="8"/>
        </w:pBdr>
        <w:spacing w:before="120"/>
        <w:ind w:left="850"/>
      </w:pPr>
      <w:r>
        <w:rPr>
          <w:i/>
          <w:color w:val="444444"/>
        </w:rPr>
        <w:t>Cohen BS, Xiong JQ, Fang C, Li W. Deposition of charged particles on lung airways. Health Physics 74(5):554-560. DOI: [10.1097/00004032-199805000-00002](https://doi.org/10.1097/00004032-199805000-00002).</w:t>
      </w:r>
    </w:p>
    <w:p w:rsidR="00EA5D97" w:rsidRDefault="0EBEC655" w14:paraId="0E4A2D9B" w14:textId="217CDA3A">
      <w:r w:rsidRPr="0EBEC655">
        <w:rPr>
          <w:b/>
          <w:bCs/>
        </w:rPr>
        <w:t>(d) Impactzone strekt zich uit over meer dan 1 kilometer.</w:t>
      </w:r>
      <w:r>
        <w:t xml:space="preserve"> Matthews et al. (2024) toonden aan dat corona-ionen de luchtkwaliteit kunnen </w:t>
      </w:r>
      <w:r w:rsidR="1B133EA8">
        <w:t>beïnvloeden</w:t>
      </w:r>
      <w:r>
        <w:t xml:space="preserve"> op afstanden van </w:t>
      </w:r>
      <w:r w:rsidRPr="0EBEC655">
        <w:rPr>
          <w:b/>
          <w:bCs/>
        </w:rPr>
        <w:t>meer dan 1 kilometer</w:t>
      </w:r>
      <w:r>
        <w:t xml:space="preserve"> van de hoogspanningslijn.</w:t>
      </w:r>
    </w:p>
    <w:p w:rsidR="00EA5D97" w:rsidRDefault="005311C6" w14:paraId="50D7FEAB" w14:textId="77777777">
      <w:pPr>
        <w:pBdr>
          <w:left w:val="single" w:color="999999" w:sz="12" w:space="8"/>
        </w:pBdr>
        <w:spacing w:before="120"/>
        <w:ind w:left="850"/>
      </w:pPr>
      <w:r>
        <w:rPr>
          <w:i/>
          <w:color w:val="444444"/>
        </w:rPr>
        <w:t>Matthews JC. Corona ion emission from high voltage power lines: measurements and modelling. Journal of Physics: Conference Series 2702:012011. DOI: [10.1088/1742-6596/2702/1/012011](https://doi.org/10.1088/1742-6596/2702/1/012011).</w:t>
      </w:r>
    </w:p>
    <w:p w:rsidR="00EA5D97" w:rsidRDefault="005311C6" w14:paraId="6A964E9F" w14:textId="77777777">
      <w:r>
        <w:rPr>
          <w:b/>
        </w:rPr>
        <w:t>(e) Eigen productie van ozon en stikstofoxiden.</w:t>
      </w:r>
      <w:r>
        <w:t xml:space="preserve"> Recente studies tonen aan dat hoogspanningslijnen zelf ozon (O3) en stikstofoxiden (NOx) produceren via het corona-effect:</w:t>
      </w:r>
    </w:p>
    <w:p w:rsidR="00EA5D97" w:rsidRDefault="005311C6" w14:paraId="2CEFB8F8" w14:textId="77777777">
      <w:pPr>
        <w:pBdr>
          <w:left w:val="single" w:color="999999" w:sz="12" w:space="8"/>
        </w:pBdr>
        <w:spacing w:before="120"/>
        <w:ind w:left="850"/>
      </w:pPr>
      <w:r>
        <w:rPr>
          <w:i/>
          <w:color w:val="444444"/>
        </w:rPr>
        <w:t>De Vito L et al. Ozone and nitrogen oxide production by corona discharge. Sensors 24(2):587. DOI: [10.3390/s24020587](https://doi.org/10.3390/s24020587).</w:t>
      </w:r>
    </w:p>
    <w:p w:rsidR="00EA5D97" w:rsidRDefault="005311C6" w14:paraId="32179403" w14:textId="77777777">
      <w:pPr>
        <w:pBdr>
          <w:left w:val="single" w:color="999999" w:sz="12" w:space="8"/>
        </w:pBdr>
        <w:spacing w:before="120"/>
        <w:ind w:left="850"/>
      </w:pPr>
      <w:r>
        <w:rPr>
          <w:i/>
          <w:color w:val="444444"/>
        </w:rPr>
        <w:t>Zobaa AF et al. Corona discharge effects on air quality near high-voltage transmission lines. Scientific Reports 15:26521. DOI: [10.1038/s41598-025-26521-z](https://doi.org/10.1038/s41598-025-26521-z).</w:t>
      </w:r>
    </w:p>
    <w:p w:rsidR="00EA5D97" w:rsidRDefault="005311C6" w14:paraId="7F2BE5AC" w14:textId="77777777">
      <w:r>
        <w:rPr>
          <w:b/>
        </w:rPr>
        <w:t>(f) Het MER erkent zelf dat ondergrondse aanleg het corona-effect elimineert.</w:t>
      </w:r>
      <w:r>
        <w:t xml:space="preserve"> In sectie 13.5.3 bevestigt het MER dat bij ondergrondse aanleg geen corona-ontlading optreedt. Dit bevestigt a contrario dat bij bovengrondse aanleg het corona-effect wel degelijk aanwezig is — maar het MER trekt hier geen consequenties uit voor de effectbeoordeling.</w:t>
      </w:r>
    </w:p>
    <w:p w:rsidR="00EA5D97" w:rsidRDefault="005311C6" w14:paraId="0CC4AC16" w14:textId="77777777">
      <w:pPr>
        <w:pStyle w:val="Heading3"/>
      </w:pPr>
      <w:r>
        <w:t>9.2bis Volledige wetenschappelijke onderbouwing corona-ionen (1996-2025)</w:t>
      </w:r>
    </w:p>
    <w:p w:rsidR="00EA5D97" w:rsidRDefault="005311C6" w14:paraId="76BC99BA" w14:textId="77777777">
      <w:r>
        <w:t>Het corona-ioneneffect is niet hypothetisch maar berust op een wetenschappelijk dossier dat drie decennia omspant:</w:t>
      </w:r>
    </w:p>
    <w:p w:rsidR="00EA5D97" w:rsidRDefault="005311C6" w14:paraId="712F2E5E" w14:textId="77777777">
      <w:r>
        <w:rPr>
          <w:b/>
        </w:rPr>
        <w:t>(a) Historische basis (1996-2010)</w:t>
      </w:r>
    </w:p>
    <w:p w:rsidR="00EA5D97" w:rsidRDefault="005311C6" w14:paraId="33A2358C" w14:textId="77777777">
      <w:pPr>
        <w:pStyle w:val="ListBullet"/>
        <w:spacing w:after="60"/>
        <w:ind w:left="720"/>
      </w:pPr>
      <w:r>
        <w:rPr>
          <w:b/>
        </w:rPr>
        <w:t>Henshaw et al. (1996):</w:t>
      </w:r>
      <w:r>
        <w:t xml:space="preserve"> eerste documentatie van het mechanisme — depositie van radon-dochterkernen tot 18 keer het normale niveau nabij hoogspanningslijnen. </w:t>
      </w:r>
      <w:r>
        <w:rPr>
          <w:i/>
        </w:rPr>
        <w:t>Int. J. Rad. Biol.</w:t>
      </w:r>
      <w:r>
        <w:t>, 69(1), pp. 25-38. DOI: 10.1080/095530096146156.</w:t>
      </w:r>
    </w:p>
    <w:p w:rsidR="00EA5D97" w:rsidRDefault="005311C6" w14:paraId="5F063E08" w14:textId="77777777">
      <w:pPr>
        <w:pStyle w:val="ListBullet"/>
        <w:spacing w:after="60"/>
        <w:ind w:left="720"/>
      </w:pPr>
      <w:r>
        <w:rPr>
          <w:b/>
        </w:rPr>
        <w:t>Fews et al. (1999):</w:t>
      </w:r>
      <w:r>
        <w:t xml:space="preserve"> bevestiging dat corona-ionen zich hechten aan luchtvervuilingsdeeltjes; effect meetbaar tot meer dan 500 meter. </w:t>
      </w:r>
      <w:r>
        <w:rPr>
          <w:i/>
        </w:rPr>
        <w:t>Int. J. Rad. Biol.</w:t>
      </w:r>
      <w:r>
        <w:t>, 75(12), pp. 1523-1531. DOI: 10.1080/095530099139124.</w:t>
      </w:r>
    </w:p>
    <w:p w:rsidR="00EA5D97" w:rsidRDefault="005311C6" w14:paraId="3CEC6C87" w14:textId="77777777">
      <w:r>
        <w:rPr>
          <w:b/>
        </w:rPr>
        <w:t>(b) Recente kwantificering (2023-2024)</w:t>
      </w:r>
    </w:p>
    <w:p w:rsidR="00EA5D97" w:rsidRDefault="005311C6" w14:paraId="7ABB4862" w14:textId="77777777">
      <w:pPr>
        <w:pStyle w:val="ListBullet"/>
        <w:spacing w:after="60"/>
        <w:ind w:left="720"/>
      </w:pPr>
      <w:r>
        <w:rPr>
          <w:b/>
        </w:rPr>
        <w:t>Wright et al. (2023a):</w:t>
      </w:r>
      <w:r>
        <w:t xml:space="preserve"> veldmetingen tonen dat specifieke lijntypen de netto deeltjeslading tot </w:t>
      </w:r>
      <w:r>
        <w:rPr>
          <w:b/>
        </w:rPr>
        <w:t>15 keer achtergrondniveau</w:t>
      </w:r>
      <w:r>
        <w:t xml:space="preserve"> verhogen. Het MER v4 erkent zelf (Hfst 18, p. 5) dat HTLS-geleiders een hoger corona-risico hebben. De secties EV209 (Waggelwater-Zedelgem) en IW227 (Izegem-Avelgem) gebruiken HTLS-geleiders en vallen daarmee in de hoog-corona categorie. Ook de AMS-secties (NWL215 langs E403, NWL216 Gezelle-Waggelwater) produceren corona-ionen bij 380 kV, zij het in mindere mate. </w:t>
      </w:r>
      <w:r>
        <w:rPr>
          <w:i/>
        </w:rPr>
        <w:t>Environmental Research</w:t>
      </w:r>
      <w:r>
        <w:t>, 228, 115834. DOI: 10.1016/j.envres.2023.115834.</w:t>
      </w:r>
    </w:p>
    <w:p w:rsidR="00EA5D97" w:rsidRDefault="005311C6" w14:paraId="53B46F22" w14:textId="77777777">
      <w:pPr>
        <w:pStyle w:val="ListBullet"/>
        <w:spacing w:after="60"/>
        <w:ind w:left="720"/>
      </w:pPr>
      <w:r>
        <w:rPr>
          <w:b/>
        </w:rPr>
        <w:t>Wright et al. (2023b):</w:t>
      </w:r>
      <w:r>
        <w:t xml:space="preserve"> eerste kwantitatief model voor ion-aerosol interacties benedenwinds van AC-hoogspanningslijnen. Dit model had in het MER kunnen en moeten worden toegepast om het cumulatieve effect met E403-emissies te kwantificeren. </w:t>
      </w:r>
      <w:r>
        <w:rPr>
          <w:i/>
        </w:rPr>
        <w:t>Environmental Research</w:t>
      </w:r>
      <w:r>
        <w:t>, 231(1), 115908.</w:t>
      </w:r>
    </w:p>
    <w:p w:rsidR="00EA5D97" w:rsidRDefault="005311C6" w14:paraId="1F31F0EE" w14:textId="77777777">
      <w:r>
        <w:rPr>
          <w:b/>
        </w:rPr>
        <w:t>(c) Longdepositie-onderzoek (2023-2025)</w:t>
      </w:r>
    </w:p>
    <w:p w:rsidR="00EA5D97" w:rsidRDefault="005311C6" w14:paraId="0B08B6F4" w14:textId="77777777">
      <w:pPr>
        <w:pStyle w:val="ListBullet"/>
        <w:spacing w:after="60"/>
        <w:ind w:left="720"/>
      </w:pPr>
      <w:r>
        <w:rPr>
          <w:b/>
        </w:rPr>
        <w:t>Bessler et al. (2023):</w:t>
      </w:r>
      <w:r>
        <w:t xml:space="preserve"> in een microfluïdisch model van alveolaire microkanalen werd aangetoond dat elektrostatische krachten de depositie van ingeademde deeltjes (0,2-1,1 µm) kunnen </w:t>
      </w:r>
      <w:r>
        <w:rPr>
          <w:b/>
        </w:rPr>
        <w:t>domineren</w:t>
      </w:r>
      <w:r>
        <w:t xml:space="preserve"> over de traditioneel aangenomen mechanismen (diffusie en sedimentatie). </w:t>
      </w:r>
      <w:r>
        <w:rPr>
          <w:i/>
        </w:rPr>
        <w:t>Scientific Reports</w:t>
      </w:r>
      <w:r>
        <w:t xml:space="preserve"> (Nature), 13, 23069. DOI: 10.1038/s41598-023-49946-w.</w:t>
      </w:r>
    </w:p>
    <w:p w:rsidR="00EA5D97" w:rsidRDefault="005311C6" w14:paraId="214EB4A3" w14:textId="77777777">
      <w:pPr>
        <w:pStyle w:val="ListBullet"/>
        <w:spacing w:after="60"/>
        <w:ind w:left="720"/>
      </w:pPr>
      <w:r>
        <w:rPr>
          <w:b/>
        </w:rPr>
        <w:t>Bessler &amp; Sznitman (2024):</w:t>
      </w:r>
      <w:r>
        <w:t xml:space="preserve"> bevestiging via airway-on-chip modellen dat elektrostatische depositie "snel de traditioneel aangenomen dominantie van diffusie of sedimentatie kan overtreffen" voor deeltjes kleiner dan 2 µm — precies de grootte van ultrafijnstof van de E403. </w:t>
      </w:r>
      <w:r>
        <w:rPr>
          <w:i/>
        </w:rPr>
        <w:t>Frontiers in Medical Engineering</w:t>
      </w:r>
      <w:r>
        <w:t>, 1:1298251. DOI: 10.3389/fmede.2023.1298251.</w:t>
      </w:r>
    </w:p>
    <w:p w:rsidR="00EA5D97" w:rsidRDefault="005311C6" w14:paraId="6E6A7DC8" w14:textId="77777777">
      <w:pPr>
        <w:pStyle w:val="ListBullet"/>
        <w:spacing w:after="60"/>
        <w:ind w:left="720"/>
      </w:pPr>
      <w:r>
        <w:rPr>
          <w:b/>
        </w:rPr>
        <w:t>Bessler et al. (2025):</w:t>
      </w:r>
      <w:r>
        <w:t xml:space="preserve"> bronchiale vernauwingsmodellen bevestigen het mechanisme. </w:t>
      </w:r>
      <w:r>
        <w:rPr>
          <w:i/>
        </w:rPr>
        <w:t>Frontiers in Physiology</w:t>
      </w:r>
      <w:r>
        <w:t>, 16:1621177. DOI: 10.3389/fphys.2025.1621177.</w:t>
      </w:r>
    </w:p>
    <w:p w:rsidR="00EA5D97" w:rsidRDefault="005311C6" w14:paraId="3BCA12AF" w14:textId="77777777">
      <w:r>
        <w:rPr>
          <w:b/>
        </w:rPr>
        <w:t>(d) Review en bevestiging (2024)</w:t>
      </w:r>
    </w:p>
    <w:p w:rsidR="00EA5D97" w:rsidRDefault="005311C6" w14:paraId="3531BC68" w14:textId="77777777">
      <w:pPr>
        <w:pStyle w:val="ListBullet"/>
        <w:spacing w:after="60"/>
        <w:ind w:left="720"/>
      </w:pPr>
      <w:r>
        <w:rPr>
          <w:b/>
        </w:rPr>
        <w:t>Atepa et al. (2024):</w:t>
      </w:r>
      <w:r>
        <w:t xml:space="preserve"> review van corona-ionenproductie bij 11 kV en 132 kV lijnen bevestigt significante productie en potentieel ernstige gezondheidseffecten via inhalatie. </w:t>
      </w:r>
      <w:r>
        <w:rPr>
          <w:i/>
        </w:rPr>
        <w:t>IJSRPAS</w:t>
      </w:r>
      <w:r>
        <w:t>, 12(4), pp. 17-24.</w:t>
      </w:r>
    </w:p>
    <w:p w:rsidR="00EA5D97" w:rsidRDefault="005311C6" w14:paraId="728A047C" w14:textId="77777777">
      <w:r>
        <w:rPr>
          <w:b/>
        </w:rPr>
        <w:t>(e) Bevestiging door medische technologie</w:t>
      </w:r>
    </w:p>
    <w:p w:rsidR="00EA5D97" w:rsidRDefault="0EBEC655" w14:paraId="51644361" w14:textId="673A7241">
      <w:r>
        <w:t xml:space="preserve">Het mechanisme is zo betrouwbaar dat het klinisch wordt ingezet: medische inhalatoren worden elektrostatisch geladen om medicijnen dieper en efficiënter in de longen te brengen (Bessler &amp; Sznitman 2024). Het is onzorgvuldig dat de overheid dit bewezen principe negeert wanneer het niet om geneesmiddelen maar om </w:t>
      </w:r>
      <w:r w:rsidRPr="0EBEC655">
        <w:rPr>
          <w:b/>
          <w:bCs/>
        </w:rPr>
        <w:t>schadelijke stoffen</w:t>
      </w:r>
      <w:r>
        <w:t xml:space="preserve"> gaat (fijnstof, roet, ultrafijnstof van de E403</w:t>
      </w:r>
      <w:r w:rsidR="2E9D8668">
        <w:t xml:space="preserve"> of andere verkeersassen</w:t>
      </w:r>
      <w:r>
        <w:t>).</w:t>
      </w:r>
    </w:p>
    <w:p w:rsidR="00EA5D97" w:rsidRDefault="005311C6" w14:paraId="55111575" w14:textId="77777777">
      <w:pPr>
        <w:pStyle w:val="Heading3"/>
      </w:pPr>
      <w:r>
        <w:t>9.3 Cumulatief risico: corona-ionen + E403-verkeer + bestaande overschrijdingen</w:t>
      </w:r>
    </w:p>
    <w:p w:rsidR="00EA5D97" w:rsidRDefault="005311C6" w14:paraId="37C33A59" w14:textId="77777777">
      <w:r>
        <w:t>De combinatie van drie factoren maakt het corona-ionenrisico bijzonder relevant voor het Ventilus-tracé:</w:t>
      </w:r>
    </w:p>
    <w:p w:rsidR="00EA5D97" w:rsidP="0EBEC655" w:rsidRDefault="0EBEC655" w14:paraId="0F526EC9" w14:textId="77777777">
      <w:pPr>
        <w:pStyle w:val="ListNumber"/>
        <w:spacing w:after="60"/>
        <w:rPr/>
      </w:pPr>
      <w:r w:rsidRPr="3765CEF6" w:rsidR="2A813C1E">
        <w:rPr>
          <w:b w:val="1"/>
          <w:bCs w:val="1"/>
        </w:rPr>
        <w:t>E403-autosnelweg als fijnstofbron.</w:t>
      </w:r>
      <w:r w:rsidR="2A813C1E">
        <w:rPr/>
        <w:t xml:space="preserve"> De sectie NWL215 (Zedelgem-Izegem) loopt over ~17 km parallel aan de E403 en gebruikt AMS-geleiders op 380 kV. Hoewel AMS minder corona produceert dan HTLS, genereert elke 380 kV-lijn corona-ionen. De verkeersemissies van de E403 leveren daarbij een constante stroom van fijnstofdeeltjes (PM2,5, PM10, ultrafijn stof) in de directe omgeving van de geleiders.</w:t>
      </w:r>
    </w:p>
    <w:p w:rsidR="00EA5D97" w:rsidP="0EBEC655" w:rsidRDefault="0EBEC655" w14:paraId="25CD328C" w14:textId="77777777">
      <w:pPr>
        <w:pStyle w:val="ListNumber"/>
        <w:spacing w:after="60"/>
        <w:rPr/>
      </w:pPr>
      <w:r w:rsidRPr="3765CEF6" w:rsidR="2A813C1E">
        <w:rPr>
          <w:b w:val="1"/>
          <w:bCs w:val="1"/>
        </w:rPr>
        <w:t>Reeds</w:t>
      </w:r>
      <w:r w:rsidRPr="3765CEF6" w:rsidR="2A813C1E">
        <w:rPr>
          <w:b w:val="1"/>
          <w:bCs w:val="1"/>
        </w:rPr>
        <w:t xml:space="preserve"> overschreden luchtkwaliteitsnormen.</w:t>
      </w:r>
      <w:r w:rsidR="2A813C1E">
        <w:rPr/>
        <w:t xml:space="preserve"> Het MER erkent zelf dat de GAW voor NO2, PM10 en PM2,5 al worden overschreden bij meetstations in de nabijheid van het tracé. Elke bijkomende verslechtering van de luchtkwaliteit is daarom des te ernstiger.</w:t>
      </w:r>
    </w:p>
    <w:p w:rsidR="00EA5D97" w:rsidP="0EBEC655" w:rsidRDefault="0EBEC655" w14:paraId="585FE966" w14:textId="77777777">
      <w:pPr>
        <w:pStyle w:val="ListNumber"/>
        <w:spacing w:after="60"/>
        <w:rPr/>
      </w:pPr>
      <w:r w:rsidRPr="3765CEF6" w:rsidR="2A813C1E">
        <w:rPr>
          <w:b w:val="1"/>
          <w:bCs w:val="1"/>
        </w:rPr>
        <w:t>HTLS-secties verhogen het corona-risico verder.</w:t>
      </w:r>
      <w:r w:rsidR="2A813C1E">
        <w:rPr/>
        <w:t xml:space="preserve"> De secties EV209 (Waggelwater-Zedelgem) en IW227 (Izegem-Avelgem) gebruiken HTLS-geleiders op bestaande masten. Het MER erkent zelf (</w:t>
      </w:r>
      <w:r w:rsidR="2A813C1E">
        <w:rPr/>
        <w:t>Hfst</w:t>
      </w:r>
      <w:r w:rsidR="2A813C1E">
        <w:rPr/>
        <w:t xml:space="preserve"> 18, p. 5) dat HTLS-geleiders een hoger corona-risico hebben dan conventionele AMS-geleiders, vanwege de hogere bedrijfstemperatuur en de daarmee gepaard gaande grotere elektrische veldsterkte aan het </w:t>
      </w:r>
      <w:r w:rsidR="2A813C1E">
        <w:rPr/>
        <w:t>geleideroppervlak</w:t>
      </w:r>
      <w:r w:rsidR="2A813C1E">
        <w:rPr/>
        <w:t>.</w:t>
      </w:r>
    </w:p>
    <w:p w:rsidR="00EA5D97" w:rsidRDefault="005311C6" w14:paraId="35FB39DB" w14:textId="77777777">
      <w:r>
        <w:t>De cumulatie van deze factoren — corona-ionen (bij alle secties, maar verhoogd bij HTLS) die verkeersfijnstof opladen in een regio waar de luchtkwaliteitsnormen reeds worden overschreden — leidt tot een plausibel gezondheidsrisico dat het MER volledig negeert.</w:t>
      </w:r>
    </w:p>
    <w:p w:rsidR="00EA5D97" w:rsidRDefault="005311C6" w14:paraId="3B3B784E" w14:textId="77777777">
      <w:pPr>
        <w:pStyle w:val="Heading3"/>
      </w:pPr>
      <w:r>
        <w:t>9.4 Juridische kwalificatie</w:t>
      </w:r>
    </w:p>
    <w:p w:rsidR="00EA5D97" w:rsidRDefault="005311C6" w14:paraId="4AAF1FE0" w14:textId="77777777">
      <w:r>
        <w:t>De omissie van het corona-ioneneffect uit de gezondheidseffectbeoordeling constitueert een drievoudige schending:</w:t>
      </w:r>
    </w:p>
    <w:p w:rsidR="00EA5D97" w:rsidRDefault="005311C6" w14:paraId="16ED9ED3" w14:textId="77777777">
      <w:r>
        <w:rPr>
          <w:b/>
        </w:rPr>
        <w:t>(a) Schending van het zorgvuldigheidsbeginsel.</w:t>
      </w:r>
      <w:r>
        <w:t xml:space="preserve"> Het fenomeen van corona-ionen en hun effect op fijnstof is wetenschappelijk gedocumenteerd. Het MER had dit effect moeten onderzoeken en beoordelen, zeker gezien de nabijheid van de E403 als fijnstofbron. Het niet-onderzoeken van een bekend en plausibel effect is een schending van de zorgvuldigheidsplicht.</w:t>
      </w:r>
    </w:p>
    <w:p w:rsidR="00EA5D97" w:rsidRDefault="005311C6" w14:paraId="26C33164" w14:textId="77777777">
      <w:r>
        <w:rPr>
          <w:b/>
        </w:rPr>
        <w:t>(b) Schending van het motiveringsbeginsel.</w:t>
      </w:r>
      <w:r>
        <w:t xml:space="preserve"> Het MER bevat een interne tegenstrijdigheid: enerzijds beweert het dat er "geen bronnen van luchtemissies" zijn tijdens de exploitatiefase, anderzijds erkent het dat fijnstof elektrisch wordt geladen en dat HTLS-geleiders een hoger corona-risico hebben. Een MER dat zichzelf tegenspreekt op een gezondheidsrelevant punt is onvoldoende gemotiveerd.</w:t>
      </w:r>
    </w:p>
    <w:p w:rsidR="00EA5D97" w:rsidRDefault="0EBEC655" w14:paraId="6C748ED9" w14:textId="33A15746">
      <w:r w:rsidRPr="0EBEC655">
        <w:rPr>
          <w:b/>
          <w:bCs/>
        </w:rPr>
        <w:t>(c) Schending van het voorzorgsbeginsel.</w:t>
      </w:r>
      <w:r>
        <w:t xml:space="preserve"> Er bestaat een plausibel fysisch mechanisme (corona-ionen laden fijnstof op, geladen fijnstof deponeert tot 3,4x meer in longen), de impactzone is wetenschappelijk gedocumenteerd (&gt;1 km), en de achtergrondluchtkwaliteit is reeds onvoldoende. In deze omstandigheden verplicht het voorzorgsbeginsel tot onderzoek en beoordeling van het risico, niet tot het </w:t>
      </w:r>
      <w:r w:rsidR="3C59474B">
        <w:t>weg definiëren</w:t>
      </w:r>
      <w:r>
        <w:t xml:space="preserve"> ervan door te stellen dat er "geen luchtemissies" zijn.</w:t>
      </w:r>
    </w:p>
    <w:p w:rsidR="00EA5D97" w:rsidRDefault="005311C6" w14:paraId="2C05A898" w14:textId="77777777">
      <w:pPr>
        <w:pStyle w:val="Heading3"/>
      </w:pPr>
      <w:r>
        <w:t>9.5 Anticipatie op tegenargumenten — weerlegging van verwachte kritiek</w:t>
      </w:r>
    </w:p>
    <w:p w:rsidR="00EA5D97" w:rsidRDefault="005311C6" w14:paraId="7AD0EC9C" w14:textId="77777777">
      <w:r>
        <w:t>De robuustheid van het corona-ionenargument wordt versterkt door de anticipatie op de voornaamste tegenargumenten:</w:t>
      </w:r>
    </w:p>
    <w:p w:rsidR="00EA5D97" w:rsidRDefault="005311C6" w14:paraId="6B524514" w14:textId="77777777">
      <w:r>
        <w:rPr>
          <w:b/>
        </w:rPr>
        <w:t>(a) Jeffers (2007): "modellering vindt geen verhoogde depositie"</w:t>
      </w:r>
    </w:p>
    <w:p w:rsidR="00EA5D97" w:rsidRDefault="005311C6" w14:paraId="2E75E46D" w14:textId="77777777">
      <w:r>
        <w:t xml:space="preserve">Jeffers, D. (2007). </w:t>
      </w:r>
      <w:r>
        <w:rPr>
          <w:i/>
        </w:rPr>
        <w:t>Rad. Prot. Dosimetry</w:t>
      </w:r>
      <w:r>
        <w:t>, 123(2), pp. 257-261. DOI: 10.1093/rpd/ncl138.</w:t>
      </w:r>
    </w:p>
    <w:p w:rsidR="00EA5D97" w:rsidRDefault="005311C6" w14:paraId="4569687F" w14:textId="77777777">
      <w:r>
        <w:rPr>
          <w:b/>
        </w:rPr>
        <w:t>Weerlegging:</w:t>
      </w:r>
      <w:r>
        <w:t xml:space="preserve"> Deze studie is uit 2007 en gebruikte simplistische longmodellen. Bessler et al. (2023) — 16 jaar later, met geavanceerde microfluïdische alveoli-modellen — toonde WEL significante elektrostatische dominantie in de diepe long aan. De technologische vooruitgang in longmodellering maakt de conclusies van Jeffers </w:t>
      </w:r>
      <w:r>
        <w:rPr>
          <w:i/>
        </w:rPr>
        <w:t>superseded</w:t>
      </w:r>
      <w:r>
        <w:t xml:space="preserve"> door nieuwer experimenteel bewijs.</w:t>
      </w:r>
    </w:p>
    <w:p w:rsidR="00EA5D97" w:rsidRDefault="005311C6" w14:paraId="70CA6B2A" w14:textId="77777777">
      <w:r>
        <w:rPr>
          <w:b/>
        </w:rPr>
        <w:t>(b) Usmani/Biddiscombe et al. (2020): "geen effect bij volwassenen"</w:t>
      </w:r>
    </w:p>
    <w:p w:rsidR="00EA5D97" w:rsidRDefault="005311C6" w14:paraId="71BEE128" w14:textId="77777777">
      <w:r>
        <w:t xml:space="preserve">Usmani, O.S. et al. (2020). </w:t>
      </w:r>
      <w:r>
        <w:rPr>
          <w:i/>
        </w:rPr>
        <w:t>Am. J. Respir. Crit. Care Med.</w:t>
      </w:r>
      <w:r>
        <w:t>, 201(10), pp. 1301-1303. DOI: 10.1164/rccm.201912-2502LE.</w:t>
      </w:r>
    </w:p>
    <w:p w:rsidR="00EA5D97" w:rsidRDefault="005311C6" w14:paraId="3D3482FE" w14:textId="77777777">
      <w:r>
        <w:rPr>
          <w:b/>
        </w:rPr>
        <w:t>Weerlegging:</w:t>
      </w:r>
    </w:p>
    <w:p w:rsidR="00EA5D97" w:rsidP="0EBEC655" w:rsidRDefault="0EBEC655" w14:paraId="1D4A1261" w14:textId="77777777">
      <w:pPr>
        <w:pStyle w:val="ListNumber"/>
        <w:spacing w:after="60"/>
        <w:rPr/>
      </w:pPr>
      <w:r w:rsidR="2A813C1E">
        <w:rPr/>
        <w:t xml:space="preserve">Deze studie mat </w:t>
      </w:r>
      <w:r w:rsidRPr="3765CEF6" w:rsidR="2A813C1E">
        <w:rPr>
          <w:b w:val="1"/>
          <w:bCs w:val="1"/>
        </w:rPr>
        <w:t>totale longdepositie</w:t>
      </w:r>
      <w:r w:rsidR="2A813C1E">
        <w:rPr/>
        <w:t xml:space="preserve">, niet </w:t>
      </w:r>
      <w:r w:rsidRPr="3765CEF6" w:rsidR="2A813C1E">
        <w:rPr>
          <w:b w:val="1"/>
          <w:bCs w:val="1"/>
        </w:rPr>
        <w:t>regionale verdeling</w:t>
      </w:r>
      <w:r w:rsidR="2A813C1E">
        <w:rPr/>
        <w:t>. Diepe longdepositie (gevaarlijker) kan toenemen terwijl het totaal gelijk blijft doordat minder in de bovenste luchtwegen achterblijft.</w:t>
      </w:r>
    </w:p>
    <w:p w:rsidR="00EA5D97" w:rsidP="0EBEC655" w:rsidRDefault="0EBEC655" w14:paraId="35EC3BE0" w14:textId="77777777">
      <w:pPr>
        <w:pStyle w:val="ListNumber"/>
        <w:spacing w:after="60"/>
        <w:rPr/>
      </w:pPr>
      <w:r w:rsidR="2A813C1E">
        <w:rPr/>
        <w:t xml:space="preserve">Gemeten bij </w:t>
      </w:r>
      <w:r w:rsidRPr="3765CEF6" w:rsidR="2A813C1E">
        <w:rPr>
          <w:b w:val="1"/>
          <w:bCs w:val="1"/>
        </w:rPr>
        <w:t>volwassenen</w:t>
      </w:r>
      <w:r w:rsidR="2A813C1E">
        <w:rPr/>
        <w:t xml:space="preserve"> — kinderen hebben kleinere luchtwegen waar elektrostatische krachten relatief sterker zijn.</w:t>
      </w:r>
    </w:p>
    <w:p w:rsidR="00EA5D97" w:rsidP="0EBEC655" w:rsidRDefault="0EBEC655" w14:paraId="33CD2EFF" w14:textId="77777777">
      <w:pPr>
        <w:pStyle w:val="ListNumber"/>
        <w:spacing w:after="60"/>
        <w:rPr/>
      </w:pPr>
      <w:r w:rsidR="2A813C1E">
        <w:rPr/>
        <w:t xml:space="preserve">Gebruikte specifieke </w:t>
      </w:r>
      <w:r w:rsidR="2A813C1E">
        <w:rPr/>
        <w:t>NaCl</w:t>
      </w:r>
      <w:r w:rsidR="2A813C1E">
        <w:rPr/>
        <w:t xml:space="preserve">-deeltjes van ~100 nm — niet representatief voor het volledige spectrum van </w:t>
      </w:r>
      <w:r w:rsidR="2A813C1E">
        <w:rPr/>
        <w:t>verkeersgerelateerd</w:t>
      </w:r>
      <w:r w:rsidR="2A813C1E">
        <w:rPr/>
        <w:t xml:space="preserve"> fijnstof.</w:t>
      </w:r>
    </w:p>
    <w:p w:rsidR="00EA5D97" w:rsidP="0EBEC655" w:rsidRDefault="0EBEC655" w14:paraId="7F11EC8F" w14:textId="77777777">
      <w:pPr>
        <w:pStyle w:val="ListNumber"/>
        <w:spacing w:after="60"/>
        <w:rPr/>
      </w:pPr>
      <w:r w:rsidR="2A813C1E">
        <w:rPr/>
        <w:t>Bessler</w:t>
      </w:r>
      <w:r w:rsidR="2A813C1E">
        <w:rPr/>
        <w:t xml:space="preserve"> et al. (2023) demonstreerde WEL significante effecten in </w:t>
      </w:r>
      <w:r w:rsidRPr="3765CEF6" w:rsidR="2A813C1E">
        <w:rPr>
          <w:b w:val="1"/>
          <w:bCs w:val="1"/>
        </w:rPr>
        <w:t>alveolaire microkanalen</w:t>
      </w:r>
      <w:r w:rsidR="2A813C1E">
        <w:rPr/>
        <w:t xml:space="preserve"> — precies de diepe long waar het risico het grootst is.</w:t>
      </w:r>
    </w:p>
    <w:p w:rsidR="00EA5D97" w:rsidRDefault="005311C6" w14:paraId="550DF984" w14:textId="77777777">
      <w:r>
        <w:rPr>
          <w:b/>
        </w:rPr>
        <w:t>(c) Toledano et al. (2020): "geen verband met volwassen kankers"</w:t>
      </w:r>
    </w:p>
    <w:p w:rsidR="00EA5D97" w:rsidRDefault="005311C6" w14:paraId="08B29B46" w14:textId="77777777">
      <w:r>
        <w:t xml:space="preserve">Toledano, M.B. et al. (2020). </w:t>
      </w:r>
      <w:r>
        <w:rPr>
          <w:i/>
        </w:rPr>
        <w:t>Int. J. Epidemiol.</w:t>
      </w:r>
      <w:r>
        <w:t>, 49(S1), i57-i66. DOI: 10.1093/ije/dyz275.</w:t>
      </w:r>
    </w:p>
    <w:p w:rsidR="00EA5D97" w:rsidRDefault="005311C6" w14:paraId="18174E4A" w14:textId="77777777">
      <w:r>
        <w:rPr>
          <w:b/>
        </w:rPr>
        <w:t>Weerlegging:</w:t>
      </w:r>
    </w:p>
    <w:p w:rsidR="00EA5D97" w:rsidP="0EBEC655" w:rsidRDefault="0EBEC655" w14:paraId="3FD27912" w14:textId="77777777">
      <w:pPr>
        <w:pStyle w:val="ListNumber"/>
        <w:spacing w:after="60"/>
        <w:rPr/>
      </w:pPr>
      <w:r w:rsidR="2A813C1E">
        <w:rPr/>
        <w:t xml:space="preserve">Studie betreft </w:t>
      </w:r>
      <w:r w:rsidRPr="3765CEF6" w:rsidR="2A813C1E">
        <w:rPr>
          <w:b w:val="1"/>
          <w:bCs w:val="1"/>
        </w:rPr>
        <w:t>volwassen kankers</w:t>
      </w:r>
      <w:r w:rsidR="2A813C1E">
        <w:rPr/>
        <w:t xml:space="preserve">, niet </w:t>
      </w:r>
      <w:r w:rsidRPr="3765CEF6" w:rsidR="2A813C1E">
        <w:rPr>
          <w:b w:val="1"/>
          <w:bCs w:val="1"/>
        </w:rPr>
        <w:t>kinderleukemie</w:t>
      </w:r>
      <w:r w:rsidR="2A813C1E">
        <w:rPr/>
        <w:t xml:space="preserve"> (het primaire risico).</w:t>
      </w:r>
    </w:p>
    <w:p w:rsidR="00EA5D97" w:rsidP="0EBEC655" w:rsidRDefault="0EBEC655" w14:paraId="2715BCD5" w14:textId="77777777">
      <w:pPr>
        <w:pStyle w:val="ListNumber"/>
        <w:spacing w:after="60"/>
        <w:rPr/>
      </w:pPr>
      <w:r w:rsidR="2A813C1E">
        <w:rPr/>
        <w:t xml:space="preserve">Het argument gaat primair over </w:t>
      </w:r>
      <w:r w:rsidRPr="3765CEF6" w:rsidR="2A813C1E">
        <w:rPr>
          <w:b w:val="1"/>
          <w:bCs w:val="1"/>
        </w:rPr>
        <w:t>verhoogde longdepositie van verkeerspolluenten</w:t>
      </w:r>
      <w:r w:rsidR="2A813C1E">
        <w:rPr/>
        <w:t>, niet specifiek over kanker door corona-ionen zelf.</w:t>
      </w:r>
    </w:p>
    <w:p w:rsidR="00EA5D97" w:rsidP="0EBEC655" w:rsidRDefault="0EBEC655" w14:paraId="434F0671" w14:textId="77777777">
      <w:pPr>
        <w:pStyle w:val="ListNumber"/>
        <w:spacing w:after="60"/>
        <w:rPr/>
      </w:pPr>
      <w:r w:rsidR="2A813C1E">
        <w:rPr/>
        <w:t>Het cumulatieve effect met E403-emissies is niet onderzocht in deze studie.</w:t>
      </w:r>
    </w:p>
    <w:p w:rsidR="00EA5D97" w:rsidRDefault="005311C6" w14:paraId="3085090F" w14:textId="77777777">
      <w:r>
        <w:rPr>
          <w:b/>
        </w:rPr>
        <w:t>(d) Wright et al. (2023a): "most HVPL do not significantly increase charge"</w:t>
      </w:r>
    </w:p>
    <w:p w:rsidR="00EA5D97" w:rsidRDefault="005311C6" w14:paraId="3E2DF212" w14:textId="77777777">
      <w:r>
        <w:rPr>
          <w:b/>
        </w:rPr>
        <w:t>Weerlegging:</w:t>
      </w:r>
      <w:r>
        <w:t xml:space="preserve"> Dezelfde studie toont dat </w:t>
      </w:r>
      <w:r>
        <w:rPr>
          <w:b/>
        </w:rPr>
        <w:t>specifieke lijntypen</w:t>
      </w:r>
      <w:r>
        <w:t xml:space="preserve"> de lading tot </w:t>
      </w:r>
      <w:r>
        <w:rPr>
          <w:b/>
        </w:rPr>
        <w:t>15 keer achtergrondniveau</w:t>
      </w:r>
      <w:r>
        <w:t xml:space="preserve"> verhogen. Het MER v4 erkent zelf dat HTLS-geleiders een hoger corona-risico hebben. De Ventilus-secties EV209 en IW227 gebruiken HTLS-geleiders op 380 kV — precies het type lijn waar significant corona-productie optreedt. De AMS-secties (NWL215, NWL216) opereren eveneens op 380 kV en produceren ook corona-ionen, zij het minder dan HTLS. De conclusie is genuanceerd: niet alle lijnen, maar WEL de spannings- en geleidercategorie waartoe Ventilus behoort.</w:t>
      </w:r>
    </w:p>
    <w:p w:rsidR="00EA5D97" w:rsidRDefault="005311C6" w14:paraId="07B94C10" w14:textId="77777777">
      <w:r>
        <w:t>De anticipatie op deze tegenargumenten toont aan dat het corona-ionendossier wetenschappelijk robuust is en bestand tegen de meest gangbare kritiek.</w:t>
      </w:r>
    </w:p>
    <w:p w:rsidR="00EA5D97" w:rsidRDefault="00EA5D97" w14:paraId="3DEEC669" w14:textId="77777777">
      <w:pPr>
        <w:pBdr>
          <w:bottom w:val="single" w:color="CCCCCC" w:sz="6" w:space="1"/>
        </w:pBdr>
        <w:spacing w:before="240" w:after="240"/>
      </w:pPr>
    </w:p>
    <w:p w:rsidR="00EA5D97" w:rsidRDefault="005311C6" w14:paraId="00312B74" w14:textId="77777777">
      <w:pPr>
        <w:pStyle w:val="Heading2"/>
      </w:pPr>
      <w:r>
        <w:t>10. MILDERENDE MAATREGELEN ONTOEREIKEND</w:t>
      </w:r>
    </w:p>
    <w:p w:rsidR="00EA5D97" w:rsidRDefault="005311C6" w14:paraId="3FD0A6B9" w14:textId="77777777">
      <w:pPr>
        <w:pStyle w:val="Heading3"/>
      </w:pPr>
      <w:r>
        <w:t>10.1 Geen fysieke of juridisch bindende maatregelen</w:t>
      </w:r>
    </w:p>
    <w:p w:rsidR="00EA5D97" w:rsidRDefault="0EBEC655" w14:paraId="3FAA75E8" w14:textId="0C32FC3A">
      <w:r>
        <w:t xml:space="preserve">Het MER vermeldt de volgende </w:t>
      </w:r>
      <w:r w:rsidR="666F6BE4">
        <w:t>categorieën</w:t>
      </w:r>
      <w:r>
        <w:t xml:space="preserve"> van milderende maatregelen voor EMF:</w:t>
      </w:r>
    </w:p>
    <w:p w:rsidR="00EA5D97" w:rsidRDefault="0EBEC655" w14:paraId="161E151B" w14:textId="593A0585">
      <w:r w:rsidRPr="0EBEC655">
        <w:rPr>
          <w:b/>
          <w:bCs/>
        </w:rPr>
        <w:t xml:space="preserve">Categorie 1 -- </w:t>
      </w:r>
      <w:r w:rsidRPr="0EBEC655" w:rsidR="0AB7903B">
        <w:rPr>
          <w:b/>
          <w:bCs/>
        </w:rPr>
        <w:t>Ontwerpmaatregelen</w:t>
      </w:r>
      <w:r w:rsidRPr="0EBEC655">
        <w:rPr>
          <w:b/>
          <w:bCs/>
        </w:rPr>
        <w:t xml:space="preserve"> (Convenant Elia):</w:t>
      </w:r>
    </w:p>
    <w:p w:rsidR="00EA5D97" w:rsidRDefault="005311C6" w14:paraId="1491F24A" w14:textId="77777777">
      <w:pPr>
        <w:pStyle w:val="ListBullet"/>
        <w:spacing w:after="60"/>
        <w:ind w:left="720"/>
      </w:pPr>
      <w:r>
        <w:t>Gedeeltelijk ondergronds aanleggen (art. 4)</w:t>
      </w:r>
    </w:p>
    <w:p w:rsidR="00EA5D97" w:rsidRDefault="005311C6" w14:paraId="1D5846C9" w14:textId="77777777">
      <w:pPr>
        <w:pStyle w:val="ListBullet"/>
        <w:spacing w:after="60"/>
        <w:ind w:left="720"/>
      </w:pPr>
      <w:r>
        <w:t>Transpositie/fase-optimalisatie (art. 6 en 8)</w:t>
      </w:r>
    </w:p>
    <w:p w:rsidR="00EA5D97" w:rsidRDefault="005311C6" w14:paraId="1DEFC6F3" w14:textId="77777777">
      <w:pPr>
        <w:pStyle w:val="ListBullet"/>
        <w:spacing w:after="60"/>
        <w:ind w:left="720"/>
      </w:pPr>
      <w:r>
        <w:t>Kleinere tussenafstand geleiders (art. 7 en 9)</w:t>
      </w:r>
    </w:p>
    <w:p w:rsidR="00EA5D97" w:rsidRDefault="005311C6" w14:paraId="040218A7" w14:textId="77777777">
      <w:pPr>
        <w:pStyle w:val="ListBullet"/>
        <w:spacing w:after="60"/>
        <w:ind w:left="720"/>
      </w:pPr>
      <w:r>
        <w:t>Ruimtelijke optimalisatie afstand tot gevoelige gebouwen (art. 10) -- uitsluitend bij nieuwbouw</w:t>
      </w:r>
    </w:p>
    <w:p w:rsidR="00EA5D97" w:rsidRDefault="005311C6" w14:paraId="067DA9D8" w14:textId="77777777">
      <w:pPr>
        <w:pStyle w:val="ListBullet"/>
        <w:spacing w:after="60"/>
        <w:ind w:left="720"/>
      </w:pPr>
      <w:r>
        <w:t>Trace in openbaar domein bij ondergrondse verbindingen (art. 11)</w:t>
      </w:r>
    </w:p>
    <w:p w:rsidR="00EA5D97" w:rsidRDefault="005311C6" w14:paraId="48FCD424" w14:textId="77777777">
      <w:pPr>
        <w:pStyle w:val="ListBullet"/>
        <w:spacing w:after="60"/>
        <w:ind w:left="720"/>
      </w:pPr>
      <w:r>
        <w:t>Optimalisatie inplanting mofput (art. 12)</w:t>
      </w:r>
    </w:p>
    <w:p w:rsidR="00EA5D97" w:rsidRDefault="005311C6" w14:paraId="0C90F7C7" w14:textId="77777777">
      <w:r>
        <w:rPr>
          <w:b/>
        </w:rPr>
        <w:t>Categorie 2 -- Communicatie en monitoring:</w:t>
      </w:r>
    </w:p>
    <w:p w:rsidR="00EA5D97" w:rsidRDefault="005311C6" w14:paraId="47737DE7" w14:textId="77777777">
      <w:pPr>
        <w:pStyle w:val="ListBullet"/>
        <w:spacing w:after="60"/>
        <w:ind w:left="720"/>
      </w:pPr>
      <w:r>
        <w:t>Website Elia over veiligheid en milieu</w:t>
      </w:r>
    </w:p>
    <w:p w:rsidR="00EA5D97" w:rsidRDefault="005311C6" w14:paraId="0FD92F2B" w14:textId="77777777">
      <w:pPr>
        <w:pStyle w:val="ListBullet"/>
        <w:spacing w:after="60"/>
        <w:ind w:left="720"/>
      </w:pPr>
      <w:r>
        <w:t>Brochure over elektromagnetische velden</w:t>
      </w:r>
    </w:p>
    <w:p w:rsidR="00EA5D97" w:rsidRDefault="005311C6" w14:paraId="33BFCE5A" w14:textId="77777777">
      <w:pPr>
        <w:pStyle w:val="ListBullet"/>
        <w:spacing w:after="60"/>
        <w:ind w:left="720"/>
      </w:pPr>
      <w:r>
        <w:t>Gratis metingen aangeboden aan burgers</w:t>
      </w:r>
    </w:p>
    <w:p w:rsidR="00EA5D97" w:rsidRDefault="005311C6" w14:paraId="6E5704FD" w14:textId="77777777">
      <w:pPr>
        <w:pStyle w:val="ListBullet"/>
        <w:spacing w:after="60"/>
        <w:ind w:left="720"/>
      </w:pPr>
      <w:r>
        <w:t>Financiering BBEMG-onderzoek</w:t>
      </w:r>
    </w:p>
    <w:p w:rsidR="00EA5D97" w:rsidRDefault="005311C6" w14:paraId="0A5397FE" w14:textId="77777777">
      <w:pPr>
        <w:pStyle w:val="ListBullet"/>
        <w:spacing w:after="60"/>
        <w:ind w:left="720"/>
      </w:pPr>
      <w:r>
        <w:t>Sensoren voor monitoring door Departement Omgeving</w:t>
      </w:r>
    </w:p>
    <w:p w:rsidR="00EA5D97" w:rsidRDefault="005311C6" w14:paraId="0A3455AA" w14:textId="77777777">
      <w:r>
        <w:t xml:space="preserve">Geen enkele van deze maatregelen is gericht op het </w:t>
      </w:r>
      <w:r>
        <w:rPr>
          <w:b/>
        </w:rPr>
        <w:t>verminderen van het aantal blootgestelde woningen</w:t>
      </w:r>
      <w:r>
        <w:t>. De ontwerpmaatrregelen zijn reeds in het huidige ontwerp verwerkt en leiden desondanks tot 170 nieuwe woningen in de contour. De communicatieve maatregelen hebben per definitie geen fysiek effect op de EMF-blootstelling.</w:t>
      </w:r>
    </w:p>
    <w:p w:rsidR="00EA5D97" w:rsidRDefault="005311C6" w14:paraId="78024FBA" w14:textId="77777777">
      <w:r>
        <w:t>De gemeente Zedelgem verwoordt het als volgt:</w:t>
      </w:r>
    </w:p>
    <w:p w:rsidR="00EA5D97" w:rsidRDefault="005311C6" w14:paraId="40F0DA72" w14:textId="77777777">
      <w:pPr>
        <w:pBdr>
          <w:left w:val="single" w:color="999999" w:sz="12" w:space="8"/>
        </w:pBdr>
        <w:spacing w:before="120"/>
        <w:ind w:left="850"/>
      </w:pPr>
      <w:r>
        <w:rPr>
          <w:i/>
          <w:color w:val="444444"/>
        </w:rPr>
        <w:t>"Er worden voor de discipline gezondheid geen milderende maatregelen voorgesteld. Dit is onbegrijpelijk." (Advies Zedelgem, p. 13)</w:t>
      </w:r>
    </w:p>
    <w:p w:rsidR="00EA5D97" w:rsidRDefault="005311C6" w14:paraId="47F638BE" w14:textId="77777777">
      <w:pPr>
        <w:pStyle w:val="Heading3"/>
      </w:pPr>
      <w:r>
        <w:t>10.2 Convenant Elia is opzegbaar -- structurele rechtsonzekerheid</w:t>
      </w:r>
    </w:p>
    <w:p w:rsidR="00EA5D97" w:rsidRDefault="005311C6" w14:paraId="7BEF9E6F" w14:textId="77777777">
      <w:r>
        <w:t xml:space="preserve">Het Convenant tussen Elia en de Vlaamse Regering, dat de basis vormt voor de EMF-beperkende maatregelen, is geen wettelijk kader maar een </w:t>
      </w:r>
      <w:r>
        <w:rPr>
          <w:b/>
        </w:rPr>
        <w:t>vrijwillig afsprakenkader</w:t>
      </w:r>
      <w:r>
        <w:t xml:space="preserve"> dat door Elia binnen zes maanden kan worden opgezegd. De gemeente Zedelgem wijst hier met klem op:</w:t>
      </w:r>
    </w:p>
    <w:p w:rsidR="00EA5D97" w:rsidRDefault="005311C6" w14:paraId="50C7E90E" w14:textId="77777777">
      <w:pPr>
        <w:pBdr>
          <w:left w:val="single" w:color="999999" w:sz="12" w:space="8"/>
        </w:pBdr>
        <w:spacing w:before="120"/>
        <w:ind w:left="850"/>
      </w:pPr>
      <w:r>
        <w:rPr>
          <w:i/>
          <w:color w:val="444444"/>
        </w:rPr>
        <w:t>"De netbeheerder/aanvrager heeft daarnaast een zogezegd afsprakenkader onderhandeld, dat echter blijkbaar binnen de zes maand opzegbaar moest zijn." (Advies Zedelgem)</w:t>
      </w:r>
    </w:p>
    <w:p w:rsidR="00EA5D97" w:rsidRDefault="005311C6" w14:paraId="5EEF14C9" w14:textId="77777777">
      <w:r>
        <w:t>En verder:</w:t>
      </w:r>
    </w:p>
    <w:p w:rsidR="00EA5D97" w:rsidRDefault="005311C6" w14:paraId="44649936" w14:textId="77777777">
      <w:pPr>
        <w:pBdr>
          <w:left w:val="single" w:color="999999" w:sz="12" w:space="8"/>
        </w:pBdr>
        <w:spacing w:before="120"/>
        <w:ind w:left="850"/>
      </w:pPr>
      <w:r>
        <w:rPr>
          <w:i/>
          <w:color w:val="444444"/>
        </w:rPr>
        <w:t>"Hoewel zowel Elia als de Vlaamse Regering nu al meer dan vijf jaar de omwonenden sussen met het gegeven dat de 0,4 micro-stralingscontour beperkt zal zijn [...] blijft het een feit dat de milieuhygienische regels op geen enkele wijze zullen garanderen dat die beperkte stralingscontour zich ook op het terrein zo zal voordoen." (Advies Zedelgem)</w:t>
      </w:r>
    </w:p>
    <w:p w:rsidR="00EA5D97" w:rsidRDefault="005311C6" w14:paraId="08FE8960" w14:textId="77777777">
      <w:r>
        <w:t>Een milieueffectbeoordeling die steunt op maatregelen uit een opzegbaar convenant, biedt geen rechtszekerheid aan de omwonenden. Na opzegging van het convenant vervalt de juridische basis voor elke EMF-beperkende maatregel die niet als vergunningsvoorwaarde is opgelegd.</w:t>
      </w:r>
    </w:p>
    <w:p w:rsidR="00EA5D97" w:rsidRDefault="005311C6" w14:paraId="443C002C" w14:textId="77777777">
      <w:pPr>
        <w:pStyle w:val="Heading3"/>
      </w:pPr>
      <w:r>
        <w:t>10.3 Monitoring zonder sanctiemechanisme</w:t>
      </w:r>
    </w:p>
    <w:p w:rsidR="00EA5D97" w:rsidRDefault="0EBEC655" w14:paraId="416FC257" w14:textId="77777777">
      <w:r>
        <w:t xml:space="preserve">Het MER voorziet in monitoring van de EMF-blootstelling via sensoren van het Departement Omgeving. Er is echter </w:t>
      </w:r>
      <w:r w:rsidRPr="0EBEC655">
        <w:rPr>
          <w:b/>
          <w:bCs/>
        </w:rPr>
        <w:t>geen sanctiemechanisme</w:t>
      </w:r>
      <w:r>
        <w:t xml:space="preserve"> voorzien voor het geval de gemeten waarden de berekende contouren overschrijden. Er is geen drempelwaarde vastgelegd die tot maatregelen verplicht, geen termijn waarbinnen maatregelen moeten worden genomen, en geen consequentie bij niet-naleving.</w:t>
      </w:r>
    </w:p>
    <w:p w:rsidR="00EA5D97" w:rsidP="0EBEC655" w:rsidRDefault="37B889D1" w14:paraId="065E2E42" w14:textId="1E77C1C8">
      <w:r>
        <w:t xml:space="preserve">Meerdere </w:t>
      </w:r>
      <w:r w:rsidR="0EBEC655">
        <w:t>gemeenten (</w:t>
      </w:r>
      <w:r w:rsidR="1E761397">
        <w:t xml:space="preserve">o.a. </w:t>
      </w:r>
      <w:r w:rsidR="0EBEC655">
        <w:t xml:space="preserve">Deerlijk, Harelbeke, Jabbeke, Lendelede, Zedelgem) wijzen in hun ongunstige adviezen op dit gebrek aan sanctiemogelijkheid. De gemeente Zedelgem kwalificeert het monitoringsysteem als een </w:t>
      </w:r>
      <w:r w:rsidRPr="0EBEC655" w:rsidR="0EBEC655">
        <w:rPr>
          <w:b/>
          <w:bCs/>
        </w:rPr>
        <w:t>"lege doos"</w:t>
      </w:r>
      <w:r w:rsidR="0EBEC655">
        <w:t>.</w:t>
      </w:r>
    </w:p>
    <w:p w:rsidR="00EA5D97" w:rsidRDefault="005311C6" w14:paraId="36AEF135" w14:textId="77777777">
      <w:pPr>
        <w:pStyle w:val="Heading3"/>
      </w:pPr>
      <w:r>
        <w:t>10.4 HTLS-keuze maakt EMF-reductie onmogelijk -- cirkelredenering</w:t>
      </w:r>
    </w:p>
    <w:p w:rsidR="00EA5D97" w:rsidRDefault="005311C6" w14:paraId="2E8F5087" w14:textId="77777777">
      <w:r>
        <w:t>De keuze voor HTLS-geleiders (High Temperature Low Sag) bij herbenutting van de bestaande 380 kV masten maakt het onmogelijk om de convenant-maatregel van ruimtelijke optimalisatie (art. 10: vergroting afstand tot woningen) toe te passen. Dit leidt tot een cirkelredenering:</w:t>
      </w:r>
    </w:p>
    <w:p w:rsidR="00EA5D97" w:rsidP="0EBEC655" w:rsidRDefault="0EBEC655" w14:paraId="20AEABF0" w14:textId="77777777">
      <w:pPr>
        <w:pStyle w:val="ListNumber"/>
        <w:spacing w:after="60"/>
        <w:rPr/>
      </w:pPr>
      <w:r w:rsidR="2A813C1E">
        <w:rPr/>
        <w:t xml:space="preserve">Er wordt gekozen voor </w:t>
      </w:r>
      <w:r w:rsidR="2A813C1E">
        <w:rPr/>
        <w:t>herbenutting</w:t>
      </w:r>
      <w:r w:rsidR="2A813C1E">
        <w:rPr/>
        <w:t xml:space="preserve"> van bestaande masten met HTLS-geleiders;</w:t>
      </w:r>
    </w:p>
    <w:p w:rsidR="00EA5D97" w:rsidP="0EBEC655" w:rsidRDefault="0EBEC655" w14:paraId="6043E892" w14:textId="77777777">
      <w:pPr>
        <w:pStyle w:val="ListNumber"/>
        <w:spacing w:after="60"/>
        <w:rPr/>
      </w:pPr>
      <w:r w:rsidR="2A813C1E">
        <w:rPr/>
        <w:t>Daardoor is ruimtelijke optimalisatie (grotere afstand tot woningen) "niet mogelijk";</w:t>
      </w:r>
    </w:p>
    <w:p w:rsidR="00EA5D97" w:rsidP="0EBEC655" w:rsidRDefault="0EBEC655" w14:paraId="24ABBB26" w14:textId="77777777">
      <w:pPr>
        <w:pStyle w:val="ListNumber"/>
        <w:spacing w:after="60"/>
        <w:rPr/>
      </w:pPr>
      <w:r w:rsidR="2A813C1E">
        <w:rPr/>
        <w:t>Elia krijgt een afwijking op het convenant;</w:t>
      </w:r>
    </w:p>
    <w:p w:rsidR="00EA5D97" w:rsidP="0EBEC655" w:rsidRDefault="0EBEC655" w14:paraId="401C2423" w14:textId="77777777">
      <w:pPr>
        <w:pStyle w:val="ListNumber"/>
        <w:spacing w:after="60"/>
        <w:rPr/>
      </w:pPr>
      <w:r w:rsidR="2A813C1E">
        <w:rPr/>
        <w:t>Het Departement Omgeving accepteert de afwijking;</w:t>
      </w:r>
    </w:p>
    <w:p w:rsidR="00EA5D97" w:rsidP="0EBEC655" w:rsidRDefault="0EBEC655" w14:paraId="03163EB9" w14:textId="77777777">
      <w:pPr>
        <w:pStyle w:val="ListNumber"/>
        <w:spacing w:after="60"/>
        <w:rPr/>
      </w:pPr>
      <w:r w:rsidR="2A813C1E">
        <w:rPr/>
        <w:t>Het resultaat is dat de EMF-beperkende maatregel niet wordt toegepast.</w:t>
      </w:r>
    </w:p>
    <w:p w:rsidR="00EA5D97" w:rsidRDefault="005311C6" w14:paraId="58BEC074" w14:textId="77777777">
      <w:r>
        <w:t xml:space="preserve">De keuze voor herbenutting is echter zelf een </w:t>
      </w:r>
      <w:r>
        <w:rPr>
          <w:b/>
        </w:rPr>
        <w:t>projectkeuze</w:t>
      </w:r>
      <w:r>
        <w:t xml:space="preserve"> die had moeten worden afgewogen in het alternatieven-onderzoek, inclusief de EMF-consequenties ervan. Door herbenutting als een vaststaand gegeven te behandelen, wordt de fundamentele afweging -- is het beter om nieuwe masten op grotere afstand te plaatsen dan bestaande masten te herbenutten? -- nooit gemaakt.</w:t>
      </w:r>
    </w:p>
    <w:p w:rsidR="00EA5D97" w:rsidRDefault="005311C6" w14:paraId="0CCE81CC" w14:textId="77777777">
      <w:pPr>
        <w:pStyle w:val="Heading3"/>
      </w:pPr>
      <w:r>
        <w:t>10.5 Ondergrondse aanleg als milderende maatregel niet onderzocht</w:t>
      </w:r>
    </w:p>
    <w:p w:rsidR="00EA5D97" w:rsidP="0EBEC655" w:rsidRDefault="0EBEC655" w14:paraId="553CE05C" w14:textId="3555BA26">
      <w:r>
        <w:t xml:space="preserve">De data in het MER zelf tonen onomstotelijk aan dat ondergrondse aanleg de EMF-blootstelling drastisch reduceert: slechts </w:t>
      </w:r>
      <w:r w:rsidRPr="0EBEC655">
        <w:rPr>
          <w:b/>
          <w:bCs/>
        </w:rPr>
        <w:t>1 woning</w:t>
      </w:r>
      <w:r>
        <w:t xml:space="preserve"> komt in de contour bij de ondergrondse verbindingen, tegenover </w:t>
      </w:r>
      <w:r w:rsidRPr="0EBEC655" w:rsidR="1FEB030D">
        <w:rPr>
          <w:b/>
          <w:bCs/>
        </w:rPr>
        <w:t xml:space="preserve">170 </w:t>
      </w:r>
      <w:r w:rsidRPr="0EBEC655">
        <w:rPr>
          <w:b/>
          <w:bCs/>
        </w:rPr>
        <w:t>woningen</w:t>
      </w:r>
      <w:r>
        <w:t xml:space="preserve"> bij de bovengrondse trajecten. Desondanks wordt verdere ondergrondse aanleg nergens als milderende maatregel besproken of afgewogen. Het MER behandelt de verdeling bovengronds/ondergronds als een gegeven, terwijl deze verdeling juist de belangrijkste ontwerpparameter is voor de beheersing van EMF-blootstelling.</w:t>
      </w:r>
    </w:p>
    <w:p w:rsidR="00EA5D97" w:rsidRDefault="00EA5D97" w14:paraId="3656B9AB" w14:textId="77777777">
      <w:pPr>
        <w:pBdr>
          <w:bottom w:val="single" w:color="CCCCCC" w:sz="6" w:space="1"/>
        </w:pBdr>
        <w:spacing w:before="240" w:after="240"/>
      </w:pPr>
    </w:p>
    <w:p w:rsidR="00EA5D97" w:rsidRDefault="005311C6" w14:paraId="7FABFEE2" w14:textId="77777777">
      <w:pPr>
        <w:pStyle w:val="Heading2"/>
      </w:pPr>
      <w:r>
        <w:t>11. BEOORDELING DEPARTEMENT OMGEVING: GEEN EIGEN INHOUDELIJKE TOETSING</w:t>
      </w:r>
    </w:p>
    <w:p w:rsidR="00EA5D97" w:rsidRDefault="005311C6" w14:paraId="1E3EBC59" w14:textId="77777777">
      <w:pPr>
        <w:pStyle w:val="Heading3"/>
      </w:pPr>
      <w:r>
        <w:t>11.1 Vaststelling</w:t>
      </w:r>
    </w:p>
    <w:p w:rsidR="00EA5D97" w:rsidRDefault="005311C6" w14:paraId="04AB3CFE" w14:textId="77777777">
      <w:r>
        <w:t>Het Departement Omgeving (Brief CONELF-56, ondertekend door Griet Verbeke, 21 augustus 2025) concludeert:</w:t>
      </w:r>
    </w:p>
    <w:p w:rsidR="00EA5D97" w:rsidRDefault="005311C6" w14:paraId="0D3FDA9D" w14:textId="77777777">
      <w:pPr>
        <w:pBdr>
          <w:left w:val="single" w:color="999999" w:sz="12" w:space="8"/>
        </w:pBdr>
        <w:spacing w:before="120"/>
        <w:ind w:left="850"/>
      </w:pPr>
      <w:r>
        <w:rPr>
          <w:i/>
          <w:color w:val="444444"/>
        </w:rPr>
        <w:t>"Het Departement Omgeving heeft de toepassing van de maatregelen en de afwijking van de maatregelen uit het convenant beoordeeld en besluit dat dit dossier in lijn is met het convenant. Maatregelen die mogelijk zijn, worden toegepast. De motivatie van de afwijking geeft aan dat die maatregelen niet kunnen worden toegepast."</w:t>
      </w:r>
    </w:p>
    <w:p w:rsidR="00EA5D97" w:rsidRDefault="005311C6" w14:paraId="1399C376" w14:textId="77777777">
      <w:pPr>
        <w:pStyle w:val="Heading3"/>
      </w:pPr>
      <w:r>
        <w:t>11.2 Kritiek</w:t>
      </w:r>
    </w:p>
    <w:p w:rsidR="00EA5D97" w:rsidRDefault="005311C6" w14:paraId="0D1592B7" w14:textId="77777777">
      <w:r>
        <w:t>De beoordeling door het Departement Omgeving vertoont de volgende gebreken:</w:t>
      </w:r>
    </w:p>
    <w:p w:rsidR="00EA5D97" w:rsidRDefault="0EBEC655" w14:paraId="1E1C1B44" w14:textId="3AD9E207">
      <w:r w:rsidRPr="0EBEC655">
        <w:rPr>
          <w:b/>
          <w:bCs/>
        </w:rPr>
        <w:t>(a) Geen eigen technische analyse.</w:t>
      </w:r>
      <w:r>
        <w:t xml:space="preserve"> Het Departement accepteert Elia's motivering dat ruimtelijke optimalisatie "niet mogelijk" is bij herbenutting, zonder dit zelfstandig te </w:t>
      </w:r>
      <w:r w:rsidR="39E44BB1">
        <w:t>verifiëren</w:t>
      </w:r>
      <w:r>
        <w:t xml:space="preserve"> of tegenexpertise uit te voeren.</w:t>
      </w:r>
    </w:p>
    <w:p w:rsidR="00EA5D97" w:rsidRDefault="005311C6" w14:paraId="1EA6CE7F" w14:textId="77777777">
      <w:r>
        <w:rPr>
          <w:b/>
        </w:rPr>
        <w:t>(b) Geen vermelding van het aantal getroffen woningen.</w:t>
      </w:r>
      <w:r>
        <w:t xml:space="preserve"> De brief vermeldt dat er "nieuwe woningen en nieuwe onbebouwde woonpercelen" in de 0,4 uT zone liggen, maar noemt geen aantallen. Het Departement voert zelf de EMF-berekeningen uit (via het IMEC/ULiege-model) en beschikt dus over deze gegevens.</w:t>
      </w:r>
    </w:p>
    <w:p w:rsidR="00EA5D97" w:rsidRDefault="005311C6" w14:paraId="1902AAD3" w14:textId="77777777">
      <w:r>
        <w:rPr>
          <w:b/>
        </w:rPr>
        <w:t>(c) Circulaire redenering.</w:t>
      </w:r>
      <w:r>
        <w:t xml:space="preserve"> De conclusie </w:t>
      </w:r>
      <w:r>
        <w:rPr>
          <w:i/>
        </w:rPr>
        <w:t>"Maatregelen die mogelijk zijn, worden toegepast. De motivatie van de afwijking geeft aan dat die maatregelen niet kunnen worden toegepast"</w:t>
      </w:r>
      <w:r>
        <w:t xml:space="preserve"> is een tautologie die Elia's eigen bewering herhaalt zonder deze te toetsen.</w:t>
      </w:r>
    </w:p>
    <w:p w:rsidR="00EA5D97" w:rsidRDefault="005311C6" w14:paraId="3B2FC75A" w14:textId="77777777">
      <w:r>
        <w:rPr>
          <w:b/>
        </w:rPr>
        <w:t>(d) Geen proportionaliteitsafweging.</w:t>
      </w:r>
      <w:r>
        <w:t xml:space="preserve"> Er wordt niet afgewogen of het niet-toepassen van ruimtelijke optimalisatie proportioneel is in het licht van het aantal bijkomend blootgestelde woningen (170) en bouwpercelen (13).</w:t>
      </w:r>
    </w:p>
    <w:p w:rsidR="00EA5D97" w:rsidRDefault="005311C6" w14:paraId="1864220F" w14:textId="77777777">
      <w:r>
        <w:rPr>
          <w:b/>
        </w:rPr>
        <w:t>(e) Geen verwijzing naar voorzorgsbeginsel.</w:t>
      </w:r>
      <w:r>
        <w:t xml:space="preserve"> De brief verwijst niet naar artikel 191 lid 2 VWEU, niet naar de IARC-classificatie, en niet naar het advies van de Hoge Gezondheidsraad (9432-2020).</w:t>
      </w:r>
    </w:p>
    <w:p w:rsidR="00EA5D97" w:rsidRDefault="005311C6" w14:paraId="39C2B85C" w14:textId="77777777">
      <w:r>
        <w:rPr>
          <w:b/>
        </w:rPr>
        <w:t>(f) Interne inconsistentie.</w:t>
      </w:r>
      <w:r>
        <w:t xml:space="preserve"> De brief vermeldt op pagina 1 dat Elia de maatregel "kleinere tussenafstand geleiders" (art. 7 en 9) toepast, maar stelt op pagina 2 dat de motivatie voor niet-toepassing ook betrekking heeft op "de kleinere tussenafstand van de geleiders EN de ruimtelijke optimalisatie." Dezelfde maatregel wordt derhalve zowel als toegepast als niet-toegepast vermeld.</w:t>
      </w:r>
    </w:p>
    <w:p w:rsidR="00EA5D97" w:rsidRDefault="005311C6" w14:paraId="04A21D07" w14:textId="77777777">
      <w:r>
        <w:t xml:space="preserve">De beoordeling door het Departement Omgeving is in wezen een </w:t>
      </w:r>
      <w:r>
        <w:rPr>
          <w:b/>
        </w:rPr>
        <w:t>"rubber stamp"</w:t>
      </w:r>
      <w:r>
        <w:t xml:space="preserve"> -- een formele validatie van Elia's eigen motivering zonder enige inhoudelijke meerwaarde. Dit is strijdig met het zorgvuldigheidsbeginsel en het fair-playbeginsel, die vereisen dat de overheid een eigen, onafhankelijke beoordeling maakt.</w:t>
      </w:r>
    </w:p>
    <w:p w:rsidR="00EA5D97" w:rsidRDefault="00EA5D97" w14:paraId="45FB0818" w14:textId="77777777">
      <w:pPr>
        <w:pBdr>
          <w:bottom w:val="single" w:color="CCCCCC" w:sz="6" w:space="1"/>
        </w:pBdr>
        <w:spacing w:before="240" w:after="240"/>
      </w:pPr>
    </w:p>
    <w:p w:rsidR="00EA5D97" w:rsidRDefault="005311C6" w14:paraId="26BBC2C5" w14:textId="77777777">
      <w:pPr>
        <w:pStyle w:val="Heading2"/>
      </w:pPr>
      <w:r>
        <w:t>12. GEMEENTELIJKE ADVIEZEN BEVESTIGEN DE GEBREKEN</w:t>
      </w:r>
    </w:p>
    <w:p w:rsidR="00EA5D97" w:rsidRDefault="005311C6" w14:paraId="5E57377F" w14:textId="77777777">
      <w:r>
        <w:t xml:space="preserve">De tekortkomingen inzake Gezondheid/EMF worden bevestigd door maar liefst </w:t>
      </w:r>
      <w:r>
        <w:rPr>
          <w:b/>
        </w:rPr>
        <w:t>7 gemeenten</w:t>
      </w:r>
      <w:r>
        <w:t xml:space="preserve"> in hun (overwegend ongunstige) adviezen. Ondergetekende vat de meest relevante argumenten per gemeente samen.</w:t>
      </w:r>
    </w:p>
    <w:p w:rsidR="00EA5D97" w:rsidRDefault="005311C6" w14:paraId="608C6954" w14:textId="77777777">
      <w:pPr>
        <w:pStyle w:val="Heading3"/>
      </w:pPr>
      <w:r>
        <w:t>12.1 Ardooie -- onvoldoende EMF-onderzoek</w:t>
      </w:r>
    </w:p>
    <w:p w:rsidR="00EA5D97" w:rsidRDefault="005311C6" w14:paraId="44322AA6" w14:textId="77777777">
      <w:r>
        <w:t>De gemeente Ardooie stelt dat het EMF-onderzoek in het MER onvoldoende is en verwijst naar de verplichting tot toepassing van het voorzorgsbeginsel. Ardooie is tevens de gemeente die het Wasserijarrest (HvJ-EU C-24/19) aanhaalt om de onafhankelijkheid van het Team MER te betwisten -- een gebrek dat ook de beoordeling van de discipline Gezondheid treft.</w:t>
      </w:r>
    </w:p>
    <w:p w:rsidR="00EA5D97" w:rsidRDefault="005311C6" w14:paraId="5FE15934" w14:textId="77777777">
      <w:pPr>
        <w:pStyle w:val="Heading3"/>
      </w:pPr>
      <w:r>
        <w:t>12.2 Deerlijk -- voorzorgsprincipe en psychosomatische effecten</w:t>
      </w:r>
    </w:p>
    <w:p w:rsidR="00EA5D97" w:rsidRDefault="0EBEC655" w14:paraId="77818A7D" w14:textId="07A20404">
      <w:r>
        <w:t xml:space="preserve">De gemeente Deerlijk betoogt dat het voorzorgsprincipe niet wordt gerespecteerd en wijst specifiek op de psychosomatische effecten bij omwonenden. Het MER erkent deze effecten als </w:t>
      </w:r>
      <w:r w:rsidR="1003FF39">
        <w:t>reëel</w:t>
      </w:r>
      <w:r>
        <w:t xml:space="preserve"> maar scoort ze niet en stelt als enige milderende maatregel "communicatie" voor.</w:t>
      </w:r>
    </w:p>
    <w:p w:rsidR="00EA5D97" w:rsidRDefault="0EBEC655" w14:paraId="2A866A4F" w14:textId="088C6A94">
      <w:pPr>
        <w:pStyle w:val="Heading3"/>
      </w:pPr>
      <w:r>
        <w:t xml:space="preserve">12.3 Harelbeke -- 687 woningen en </w:t>
      </w:r>
      <w:r w:rsidR="4F653367">
        <w:t>energie eiland</w:t>
      </w:r>
    </w:p>
    <w:p w:rsidR="00EA5D97" w:rsidRDefault="0EBEC655" w14:paraId="69B8ED8D" w14:textId="560CDF76">
      <w:r>
        <w:t xml:space="preserve">De gemeente Harelbeke levert de meest gedetailleerde cijfermatige analyse. Voor het gehele </w:t>
      </w:r>
      <w:r w:rsidR="1C5C5173">
        <w:t>tracé</w:t>
      </w:r>
      <w:r>
        <w:t xml:space="preserve"> IW227 (Izegem-Avelgem) bevinden zich </w:t>
      </w:r>
      <w:r w:rsidRPr="0EBEC655">
        <w:rPr>
          <w:b/>
          <w:bCs/>
        </w:rPr>
        <w:t>687 woningen en 81 bouwpercelen</w:t>
      </w:r>
      <w:r>
        <w:t xml:space="preserve"> in de bestaande 0,4 uT contour. Harelbeke wijst er voorts op dat het </w:t>
      </w:r>
      <w:r w:rsidR="41DE17B6">
        <w:t>Energie eiland</w:t>
      </w:r>
      <w:r>
        <w:t xml:space="preserve"> Prinses Elisabeth de belasting van de verbinding kan opdrijven naar </w:t>
      </w:r>
      <w:r w:rsidRPr="0EBEC655">
        <w:rPr>
          <w:b/>
          <w:bCs/>
        </w:rPr>
        <w:t>80 tot 90%</w:t>
      </w:r>
      <w:r>
        <w:t xml:space="preserve"> -- bijna driemaal de in het MER gehanteerde 30%. Harelbeke signaleert ook dat compensatie uitsluitend wordt voorzien voor het nieuwe </w:t>
      </w:r>
      <w:r w:rsidR="7C4E3CBD">
        <w:t>tracé</w:t>
      </w:r>
      <w:r>
        <w:t xml:space="preserve"> en niet voor het bestaande, verzwaarde </w:t>
      </w:r>
      <w:r w:rsidR="5075D582">
        <w:t>tracé</w:t>
      </w:r>
      <w:r>
        <w:t>.</w:t>
      </w:r>
    </w:p>
    <w:p w:rsidR="00EA5D97" w:rsidRDefault="005311C6" w14:paraId="64C18044" w14:textId="77777777">
      <w:pPr>
        <w:pStyle w:val="Heading3"/>
      </w:pPr>
      <w:r>
        <w:t>12.4 Jabbeke -- cumulatieve EMF niet beoordeeld</w:t>
      </w:r>
    </w:p>
    <w:p w:rsidR="00EA5D97" w:rsidRDefault="005311C6" w14:paraId="5B3DD1E5" w14:textId="77777777">
      <w:r>
        <w:t>De gemeente Jabbeke wijst op het feit dat de cumulatieve EMF-blootstelling van de nieuwe 380 kV-verbinding bovenop de bestaande 150 kV-verbinding niet is beoordeeld. Dit is een lacune die het MER niet adresseert.</w:t>
      </w:r>
    </w:p>
    <w:p w:rsidR="00EA5D97" w:rsidRDefault="005311C6" w14:paraId="177C2FAC" w14:textId="77777777">
      <w:pPr>
        <w:pStyle w:val="Heading3"/>
      </w:pPr>
      <w:r>
        <w:t>12.5 Lendelede -- kinderopvangen in de contour</w:t>
      </w:r>
    </w:p>
    <w:p w:rsidR="00EA5D97" w:rsidRDefault="005311C6" w14:paraId="77F14399" w14:textId="77777777">
      <w:r>
        <w:t xml:space="preserve">De gemeente Lendelede wijst op de aanwezigheid van </w:t>
      </w:r>
      <w:r>
        <w:rPr>
          <w:b/>
        </w:rPr>
        <w:t>2 kinderopvangvoorzieningen</w:t>
      </w:r>
      <w:r>
        <w:t xml:space="preserve"> die zich reeds in de 0,4 uT contour bevinden. Lendelede signaleert verder de mogelijkheid van 687 woningen in de contour over het gehele trace en benadrukt dat de kabeldoorhang niet correct in de berekening is meegenomen.</w:t>
      </w:r>
    </w:p>
    <w:p w:rsidR="00EA5D97" w:rsidRDefault="005311C6" w14:paraId="0D2A6EDF" w14:textId="77777777">
      <w:pPr>
        <w:pStyle w:val="Heading3"/>
      </w:pPr>
      <w:r>
        <w:t>12.6 Oostkamp -- RvVb-jurisprudentie en piekstraling</w:t>
      </w:r>
    </w:p>
    <w:p w:rsidR="00EA5D97" w:rsidRDefault="005311C6" w14:paraId="2F1CC1FF" w14:textId="77777777">
      <w:r>
        <w:t>De gemeente Oostkamp, bijgestaan door advocatenkantoor Cygnus, haalt specifieke jurisprudentie aan:</w:t>
      </w:r>
    </w:p>
    <w:p w:rsidR="00EA5D97" w:rsidRDefault="005311C6" w14:paraId="1682A007" w14:textId="77777777">
      <w:pPr>
        <w:pBdr>
          <w:left w:val="single" w:color="999999" w:sz="12" w:space="8"/>
        </w:pBdr>
        <w:spacing w:before="120"/>
        <w:ind w:left="850"/>
      </w:pPr>
      <w:r>
        <w:rPr>
          <w:i/>
          <w:color w:val="444444"/>
        </w:rPr>
        <w:t>"De RvVb heeft reeds bevestigd dat er geen onomstotelijk bewijs moet zijn op schadelijke effecten opdat de overheid passende actie moet ondernomen." (RvVb-A-2223-0977)</w:t>
      </w:r>
    </w:p>
    <w:p w:rsidR="00EA5D97" w:rsidRDefault="005311C6" w14:paraId="248AAB82" w14:textId="77777777">
      <w:r>
        <w:t>Oostkamp wijst tevens op de piekstraling bij het opstijgpunt Baliebrugge, dat zich naast een dichtbevolkte woonwijk bevindt in afwijking van de E403-bundeling. De HVDC-technologie wordt volgens Oostkamp binnen een decennium beschikbaar en vormt een minder belastend alternatief.</w:t>
      </w:r>
    </w:p>
    <w:p w:rsidR="00EA5D97" w:rsidRDefault="005311C6" w14:paraId="41078B6F" w14:textId="77777777">
      <w:pPr>
        <w:pStyle w:val="Heading3"/>
      </w:pPr>
      <w:r>
        <w:t>12.7 Zedelgem -- meest vernietigende analyse</w:t>
      </w:r>
    </w:p>
    <w:p w:rsidR="00EA5D97" w:rsidRDefault="005311C6" w14:paraId="1C2B33A8" w14:textId="77777777">
      <w:r>
        <w:t>De gemeente Zedelgem levert in haar 19 pagina's tellend advies (met 36 voetnoten) de meest gedetailleerde en juridisch onderbouwde analyse van de EMF-problematiek:</w:t>
      </w:r>
    </w:p>
    <w:p w:rsidR="00EA5D97" w:rsidRDefault="005311C6" w14:paraId="093F8822" w14:textId="77777777">
      <w:r>
        <w:rPr>
          <w:b/>
        </w:rPr>
        <w:t>(a) Geen milderende maatregelen:</w:t>
      </w:r>
    </w:p>
    <w:p w:rsidR="00EA5D97" w:rsidRDefault="005311C6" w14:paraId="2D991189" w14:textId="77777777">
      <w:pPr>
        <w:pBdr>
          <w:left w:val="single" w:color="999999" w:sz="12" w:space="8"/>
        </w:pBdr>
        <w:spacing w:before="120"/>
        <w:ind w:left="850"/>
      </w:pPr>
      <w:r>
        <w:rPr>
          <w:i/>
          <w:color w:val="444444"/>
        </w:rPr>
        <w:t>"Er worden voor de discipline gezondheid geen milderende maatregelen voorgesteld. Dit is onbegrijpelijk."</w:t>
      </w:r>
    </w:p>
    <w:p w:rsidR="00EA5D97" w:rsidRDefault="005311C6" w14:paraId="68D0A243" w14:textId="77777777">
      <w:r>
        <w:rPr>
          <w:b/>
        </w:rPr>
        <w:t>(b) Convenant opzegbaar:</w:t>
      </w:r>
    </w:p>
    <w:p w:rsidR="00EA5D97" w:rsidRDefault="005311C6" w14:paraId="6AFE227F" w14:textId="77777777">
      <w:pPr>
        <w:pBdr>
          <w:left w:val="single" w:color="999999" w:sz="12" w:space="8"/>
        </w:pBdr>
        <w:spacing w:before="120"/>
        <w:ind w:left="850"/>
      </w:pPr>
      <w:r>
        <w:rPr>
          <w:i/>
          <w:color w:val="444444"/>
        </w:rPr>
        <w:t>"De netbeheerder/aanvrager heeft daarnaast een zogezegd afsprakenkader onderhandeld, dat echter blijkbaar binnen de zes maand opzegbaar moest zijn."</w:t>
      </w:r>
    </w:p>
    <w:p w:rsidR="00EA5D97" w:rsidRDefault="005311C6" w14:paraId="6C7D212B" w14:textId="77777777">
      <w:r>
        <w:rPr>
          <w:b/>
        </w:rPr>
        <w:t>(c) Monitoring als lege doos:</w:t>
      </w:r>
      <w:r>
        <w:t xml:space="preserve"> Zedelgem stelt dat het monitoringsmechanisme geen juridische waarborgen biedt. Er is geen sanctie bij overschrijding, geen termijn voor maatregelen, en geen afdwingbaar recht voor de omwonenden.</w:t>
      </w:r>
    </w:p>
    <w:p w:rsidR="00EA5D97" w:rsidRDefault="005311C6" w14:paraId="3312B4DF" w14:textId="77777777">
      <w:r>
        <w:rPr>
          <w:b/>
        </w:rPr>
        <w:t>(d) Worst-case inconsistentie:</w:t>
      </w:r>
      <w:r>
        <w:t xml:space="preserve"> Zedelgem signaleert dat het MER de worst-case benadering selectief toepast: worst-case wordt gebruikt om diepteonderzoek te vermijden ("we gaan uit van het ergste geval dus hoeven niet verder te onderzoeken"), maar wordt weggerelativeerd wanneer de worst-case tot negatieve uitkomsten leidt.</w:t>
      </w:r>
    </w:p>
    <w:p w:rsidR="00EA5D97" w:rsidRDefault="005311C6" w14:paraId="45D08469" w14:textId="77777777">
      <w:r>
        <w:rPr>
          <w:b/>
        </w:rPr>
        <w:t>(e) Vijf jaar valse geruststelling:</w:t>
      </w:r>
    </w:p>
    <w:p w:rsidR="00EA5D97" w:rsidRDefault="005311C6" w14:paraId="2A3622BD" w14:textId="77777777">
      <w:pPr>
        <w:pBdr>
          <w:left w:val="single" w:color="999999" w:sz="12" w:space="8"/>
        </w:pBdr>
        <w:spacing w:before="120"/>
        <w:ind w:left="850"/>
      </w:pPr>
      <w:r>
        <w:rPr>
          <w:i/>
          <w:color w:val="444444"/>
        </w:rPr>
        <w:t>"Hoewel zowel Elia als de Vlaamse Regering nu al meer dan vijf jaar de omwonenden sussen met het gegeven dat de 0,4 micro-stralingscontour beperkt zal zijn [...] blijft het een feit dat de milieuhygienische regels op geen enkele wijze zullen garanderen dat die beperkte stralingscontour zich ook op het terrein zo zal voordoen."</w:t>
      </w:r>
    </w:p>
    <w:p w:rsidR="00EA5D97" w:rsidRDefault="00EA5D97" w14:paraId="049F31CB" w14:textId="77777777">
      <w:pPr>
        <w:pBdr>
          <w:bottom w:val="single" w:color="CCCCCC" w:sz="6" w:space="1"/>
        </w:pBdr>
        <w:spacing w:before="240" w:after="240"/>
      </w:pPr>
    </w:p>
    <w:p w:rsidR="00EA5D97" w:rsidRDefault="005311C6" w14:paraId="48152921" w14:textId="77777777">
      <w:pPr>
        <w:pStyle w:val="Heading2"/>
      </w:pPr>
      <w:r>
        <w:t>13. EMC-RICHTLIJN — IMMUNITEITSOVERSCHRIJDING VOOR ELEKTRONISCHE APPARATUUR</w:t>
      </w:r>
    </w:p>
    <w:p w:rsidR="00EA5D97" w:rsidRDefault="005311C6" w14:paraId="20099364" w14:textId="77777777">
      <w:pPr>
        <w:pStyle w:val="Heading3"/>
      </w:pPr>
      <w:r>
        <w:t>13.1 De EMC-immuniteitsgrens als objectieve maatstaf</w:t>
      </w:r>
    </w:p>
    <w:p w:rsidR="00EA5D97" w:rsidRDefault="0EBEC655" w14:paraId="57CA53C7" w14:textId="27CBE23C">
      <w:r>
        <w:t xml:space="preserve">De Europese </w:t>
      </w:r>
      <w:r w:rsidRPr="0EBEC655">
        <w:rPr>
          <w:b/>
          <w:bCs/>
        </w:rPr>
        <w:t>EMC-richtlijn</w:t>
      </w:r>
      <w:r>
        <w:t xml:space="preserve"> (Electromagnetic Compatibility, Richtlijn 2014/30/EU) en de geharmoniseerde norm </w:t>
      </w:r>
      <w:r w:rsidRPr="0EBEC655">
        <w:rPr>
          <w:b/>
          <w:bCs/>
        </w:rPr>
        <w:t>EN 61000-6-1</w:t>
      </w:r>
      <w:r>
        <w:t xml:space="preserve"> (immuniteit voor residentiële, commerciële en lichtindustriële omgevingen) stellen de immuniteitsgrenswaarde voor huishoudelijke en commerciële elektronische apparatuur vast op </w:t>
      </w:r>
      <w:r w:rsidRPr="0EBEC655">
        <w:rPr>
          <w:b/>
          <w:bCs/>
        </w:rPr>
        <w:t>3 A/m</w:t>
      </w:r>
      <w:r>
        <w:t xml:space="preserve"> voor externe magnetische velden bij 50 Hz. Omgerekend komt dit overeen met een magnetische fluxdichtheid van </w:t>
      </w:r>
      <w:r w:rsidRPr="0EBEC655">
        <w:rPr>
          <w:b/>
          <w:bCs/>
        </w:rPr>
        <w:t>3,77 uT</w:t>
      </w:r>
      <w:r>
        <w:t xml:space="preserve"> (B = µ₀ × H; met µ₀ = 4π × 10⁻⁷ H/m).</w:t>
      </w:r>
    </w:p>
    <w:p w:rsidR="00EA5D97" w:rsidRDefault="005311C6" w14:paraId="3CA45070" w14:textId="77777777">
      <w:r>
        <w:t xml:space="preserve">Deze immuniteitsgrens definieert het </w:t>
      </w:r>
      <w:r>
        <w:rPr>
          <w:b/>
        </w:rPr>
        <w:t>maximale magnetische veld</w:t>
      </w:r>
      <w:r>
        <w:t xml:space="preserve"> waarbinnen fabrikanten garanderen dat hun apparatuur correct functioneert. Boven 3,77 uT is de correcte werking van elektronische apparaten die voldoen aan EN 61000-6-1 </w:t>
      </w:r>
      <w:r>
        <w:rPr>
          <w:b/>
        </w:rPr>
        <w:t>niet langer gegarandeerd</w:t>
      </w:r>
      <w:r>
        <w:t xml:space="preserve"> door de fabrikant.</w:t>
      </w:r>
    </w:p>
    <w:p w:rsidR="00EA5D97" w:rsidRDefault="005311C6" w14:paraId="74971B81" w14:textId="77777777">
      <w:pPr>
        <w:pStyle w:val="Heading3"/>
      </w:pPr>
      <w:r>
        <w:t>13.2 Ventilus overschrijdt de immuniteitsgrens nabij woningen</w:t>
      </w:r>
    </w:p>
    <w:p w:rsidR="00EA5D97" w:rsidRDefault="005311C6" w14:paraId="698C2CC8" w14:textId="77777777">
      <w:r>
        <w:t xml:space="preserve">Het MER documenteert magnetische veldwaarden van </w:t>
      </w:r>
      <w:r>
        <w:rPr>
          <w:b/>
        </w:rPr>
        <w:t>12 tot 37 uT</w:t>
      </w:r>
      <w:r>
        <w:t xml:space="preserve"> in de directe nabijheid van de bovengrondse 380 kV-verbinding bij de gehanteerde belastingsfactor van 30%. Zelfs bij de voorzorgsgrenswaarde van 0,4 uT ligt de werkelijke veldsterkte op korte afstand van de geleiders een veelvoud boven de EMC-immuniteitsgrens van 3,77 uT.</w:t>
      </w:r>
    </w:p>
    <w:p w:rsidR="00EA5D97" w:rsidRDefault="005311C6" w14:paraId="54CA02E3" w14:textId="77777777">
      <w:r>
        <w:t>Dit heeft concrete consequenties voor de volgende categorieën van elektronische apparatuur die zich bevinden in de woningen, bedrijven en landbouwexploitaties binnen de impactzone:</w:t>
      </w:r>
    </w:p>
    <w:p w:rsidR="00EA5D97" w:rsidRDefault="005311C6" w14:paraId="65F105D9" w14:textId="77777777">
      <w:r>
        <w:rPr>
          <w:b/>
        </w:rPr>
        <w:t>(a) Medische apparatuur.</w:t>
      </w:r>
      <w:r>
        <w:t xml:space="preserve"> Pacemakers, insulinepompen, thuismonitoring-apparatuur, CPAP-apparaten en andere medische hulpmiddelen zijn ontworpen conform de EMC-immuniteitseisen. Boven 3,77 uT is hun correcte werking niet gegarandeerd. Voor patiënten die afhankelijk zijn van deze apparatuur kan een storing levensbedreigend zijn.</w:t>
      </w:r>
    </w:p>
    <w:p w:rsidR="00EA5D97" w:rsidRDefault="005311C6" w14:paraId="4A288292" w14:textId="77777777">
      <w:r>
        <w:rPr>
          <w:b/>
        </w:rPr>
        <w:t>(b) Precisielandbouw.</w:t>
      </w:r>
      <w:r>
        <w:t xml:space="preserve"> GPS-gestuurde landbouwmachines (RTK-GPS met centimeternauwkeurigheid), melkrobots, automatische voedersystemen en weegbruggen zijn bijzonder gevoelig voor externe magnetische velden. Een melkrobot die door EMF-interferentie een foutieve meting doet, kan de melkkwaliteit compromitteren. Een GPS-systeem dat uit koers raakt, veroorzaakt gewasschade of overlapt met naburige percelen. De financiële schade voor landbouwbedrijven binnen de impactzone is reëel en voorzienbaar.</w:t>
      </w:r>
    </w:p>
    <w:p w:rsidR="00EA5D97" w:rsidRDefault="005311C6" w14:paraId="5D0C42DD" w14:textId="77777777">
      <w:r>
        <w:rPr>
          <w:b/>
        </w:rPr>
        <w:t>(c) Huishoudelijke elektronica.</w:t>
      </w:r>
      <w:r>
        <w:t xml:space="preserve"> Smart meters, warmtepompbesturingen, domoticasystemen, medische alarmsystemen en communicatieapparatuur functioneren niet gegarandeerd correct boven de immuniteitsgrens. In een tijdperk waarin het energiebeleid steunt op slimme meters en vraagsturing, is het contraproductief dat het elektriciteitsnet zelf de correcte werking van deze apparatuur ondergraaft.</w:t>
      </w:r>
    </w:p>
    <w:p w:rsidR="00EA5D97" w:rsidRDefault="005311C6" w14:paraId="2E71B67C" w14:textId="77777777">
      <w:pPr>
        <w:pStyle w:val="Heading3"/>
      </w:pPr>
      <w:r>
        <w:t>13.3 Juridische kwalificatie</w:t>
      </w:r>
    </w:p>
    <w:p w:rsidR="00EA5D97" w:rsidRDefault="005311C6" w14:paraId="44B766C5" w14:textId="77777777">
      <w:r>
        <w:rPr>
          <w:b/>
        </w:rPr>
        <w:t>(a) Schending van de zorgvuldigheidsplicht.</w:t>
      </w:r>
      <w:r>
        <w:t xml:space="preserve"> Het MER bevat geen analyse van de EMC-compatibiliteit van de verwachte magnetische velden met de elektronische apparatuur in de impactzone. De EMC-richtlijn en EN 61000-6-1 definiëren een objectieve, Europees geharmoniseerde maatstaf die het MER had moeten toepassen. Het niet-onderzoeken van deze overschrijding is een schending van het zorgvuldigheidsbeginsel.</w:t>
      </w:r>
    </w:p>
    <w:p w:rsidR="00EA5D97" w:rsidRDefault="005311C6" w14:paraId="6D4CAC02" w14:textId="77777777">
      <w:r>
        <w:rPr>
          <w:b/>
        </w:rPr>
        <w:t>(b) Schending van het eigendomsrecht en het recht op ongestoord genot.</w:t>
      </w:r>
      <w:r>
        <w:t xml:space="preserve"> Wanneer de magnetische velden van een vergund project de correcte werking van bestaande apparatuur in omliggende woningen en bedrijven verstoren, constitueert dit een inbreuk op het eigendomsrecht (art. 16 Grondwet) en het recht op ongestoord genot van eigendom (art. 1 Eerste Protocol EVRM). De eigenaar van een melkrobot of een medisch hulpmiddel mag er op vertrouwen dat zijn apparatuur functioneert conform de EMC-normen waarvoor hij heeft betaald. Een project dat deze normen overschrijdt, ondergraaft dat vertrouwen.</w:t>
      </w:r>
    </w:p>
    <w:p w:rsidR="00EA5D97" w:rsidRDefault="005311C6" w14:paraId="70F66F78" w14:textId="77777777">
      <w:r>
        <w:rPr>
          <w:b/>
        </w:rPr>
        <w:t>(c) Dubbele standaard in het beleidskader.</w:t>
      </w:r>
      <w:r>
        <w:t xml:space="preserve"> De EMC-richtlijn 2014/30/EU vereist dat fabrikanten hun apparatuur immuniseren tot 3 A/m (3,77 uT). Tegelijkertijd vergunt de overheid een project met veldwaarden die een veelvoud van deze immuniteitsgrens bedragen. De fabrikant moet aan de norm voldoen; de netbeheerder niet. Deze dubbele standaard is in strijd met het coherentiebeginsel van behoorlijk bestuur.</w:t>
      </w:r>
    </w:p>
    <w:p w:rsidR="00EA5D97" w:rsidRDefault="005311C6" w14:paraId="5FFC029A" w14:textId="77777777">
      <w:r>
        <w:rPr>
          <w:b/>
        </w:rPr>
        <w:t>(d) Cumulatief effect met corona-interferentie.</w:t>
      </w:r>
      <w:r>
        <w:t xml:space="preserve"> Naast de magnetische veldcomponent produceren de 380 kV-geleiders via het corona-effect ook hoogfrequente elektrische stoorsignalen. De cumulatie van laagfrequente magnetische velden (50 Hz, boven de immuniteitsgrens) met breedband-coronaruis versterkt het risico op EMC-incompatibiliteit. Het MER onderzoekt geen van beide effecten op elektronische apparatuur.</w:t>
      </w:r>
    </w:p>
    <w:p w:rsidR="00EA5D97" w:rsidRDefault="005311C6" w14:paraId="7EEDABAE" w14:textId="77777777">
      <w:pPr>
        <w:pStyle w:val="Heading3"/>
      </w:pPr>
      <w:r>
        <w:t>13.4 Concrete gevolgen voor het vergunningsbesluit</w:t>
      </w:r>
    </w:p>
    <w:p w:rsidR="00EA5D97" w:rsidRDefault="005311C6" w14:paraId="54926F21" w14:textId="77777777">
      <w:r>
        <w:t>De overschrijding van de EMC-immuniteitsgrens van 3,77 uT heeft directe gevolgen voor de vergunningsafweging:</w:t>
      </w:r>
    </w:p>
    <w:p w:rsidR="00EA5D97" w:rsidP="0EBEC655" w:rsidRDefault="0EBEC655" w14:paraId="021EFFFA" w14:textId="5FA5A94C">
      <w:pPr>
        <w:pStyle w:val="ListNumber"/>
        <w:spacing w:after="60"/>
        <w:rPr/>
      </w:pPr>
      <w:r w:rsidR="2A813C1E">
        <w:rPr/>
        <w:t xml:space="preserve">De </w:t>
      </w:r>
      <w:r w:rsidRPr="3765CEF6" w:rsidR="2A813C1E">
        <w:rPr>
          <w:b w:val="1"/>
          <w:bCs w:val="1"/>
        </w:rPr>
        <w:t>schade aan derden</w:t>
      </w:r>
      <w:r w:rsidR="2A813C1E">
        <w:rPr/>
        <w:t xml:space="preserve"> (storing van medische apparatuur, melkrobots, </w:t>
      </w:r>
      <w:r w:rsidR="14CC1E66">
        <w:rPr/>
        <w:t>koeherkenningssensoren,</w:t>
      </w:r>
      <w:r w:rsidR="2A813C1E">
        <w:rPr/>
        <w:t>GPS</w:t>
      </w:r>
      <w:r w:rsidR="2A813C1E">
        <w:rPr/>
        <w:t>-precisielandbouw) is een weigeringsgrond onder artikel 4.3.1 VCRO (goede ruimtelijke ordening) en een grond voor aansprakelijkheid onder artikel 1382-1384 oud BW.</w:t>
      </w:r>
    </w:p>
    <w:p w:rsidR="00EA5D97" w:rsidP="0EBEC655" w:rsidRDefault="0EBEC655" w14:paraId="45D36439" w14:textId="77777777">
      <w:pPr>
        <w:pStyle w:val="ListNumber"/>
        <w:spacing w:after="60"/>
        <w:rPr/>
      </w:pPr>
      <w:r w:rsidR="2A813C1E">
        <w:rPr/>
        <w:t xml:space="preserve">Het MER had een </w:t>
      </w:r>
      <w:r w:rsidRPr="3765CEF6" w:rsidR="2A813C1E">
        <w:rPr>
          <w:b w:val="1"/>
          <w:bCs w:val="1"/>
        </w:rPr>
        <w:t>EMC-impactanalyse</w:t>
      </w:r>
      <w:r w:rsidR="2A813C1E">
        <w:rPr/>
        <w:t xml:space="preserve"> moeten bevatten die in kaart brengt hoeveel woningen en bedrijven zich bevinden in de zone waar de magnetische veldsterkte de immuniteitsgrens van 3,77 </w:t>
      </w:r>
      <w:r w:rsidR="2A813C1E">
        <w:rPr/>
        <w:t>uT</w:t>
      </w:r>
      <w:r w:rsidR="2A813C1E">
        <w:rPr/>
        <w:t xml:space="preserve"> overschrijdt. Deze zone is breder dan de 0,4 </w:t>
      </w:r>
      <w:r w:rsidR="2A813C1E">
        <w:rPr/>
        <w:t>uT</w:t>
      </w:r>
      <w:r w:rsidR="2A813C1E">
        <w:rPr/>
        <w:t xml:space="preserve"> </w:t>
      </w:r>
      <w:r w:rsidR="2A813C1E">
        <w:rPr/>
        <w:t>voorzorgscontour</w:t>
      </w:r>
      <w:r w:rsidR="2A813C1E">
        <w:rPr/>
        <w:t xml:space="preserve"> en omvat potentieel honderden bijkomende woningen en bedrijven.</w:t>
      </w:r>
    </w:p>
    <w:p w:rsidR="00EA5D97" w:rsidP="0EBEC655" w:rsidRDefault="0EBEC655" w14:paraId="6922E0E3" w14:textId="77777777">
      <w:pPr>
        <w:pStyle w:val="ListNumber"/>
        <w:spacing w:after="60"/>
        <w:rPr/>
      </w:pPr>
      <w:r w:rsidR="2A813C1E">
        <w:rPr/>
        <w:t xml:space="preserve">De </w:t>
      </w:r>
      <w:r w:rsidRPr="3765CEF6" w:rsidR="2A813C1E">
        <w:rPr>
          <w:b w:val="1"/>
          <w:bCs w:val="1"/>
        </w:rPr>
        <w:t>milderende maatregelen</w:t>
      </w:r>
      <w:r w:rsidR="2A813C1E">
        <w:rPr/>
        <w:t xml:space="preserve"> dienen uit te gaan van de EMC-immuniteitsgrens (3,77 </w:t>
      </w:r>
      <w:r w:rsidR="2A813C1E">
        <w:rPr/>
        <w:t>uT</w:t>
      </w:r>
      <w:r w:rsidR="2A813C1E">
        <w:rPr/>
        <w:t xml:space="preserve">) als ontwerpmaatstaf, naast de epidemiologische </w:t>
      </w:r>
      <w:r w:rsidR="2A813C1E">
        <w:rPr/>
        <w:t>voorzorgswaarde</w:t>
      </w:r>
      <w:r w:rsidR="2A813C1E">
        <w:rPr/>
        <w:t xml:space="preserve"> van 0,4 </w:t>
      </w:r>
      <w:r w:rsidR="2A813C1E">
        <w:rPr/>
        <w:t>uT</w:t>
      </w:r>
      <w:r w:rsidR="2A813C1E">
        <w:rPr/>
        <w:t>.</w:t>
      </w:r>
    </w:p>
    <w:p w:rsidR="00EA5D97" w:rsidRDefault="00EA5D97" w14:paraId="53128261" w14:textId="77777777">
      <w:pPr>
        <w:pBdr>
          <w:bottom w:val="single" w:color="CCCCCC" w:sz="6" w:space="1"/>
        </w:pBdr>
        <w:spacing w:before="240" w:after="240"/>
      </w:pPr>
    </w:p>
    <w:p w:rsidR="00EA5D97" w:rsidRDefault="005311C6" w14:paraId="76DC7192" w14:textId="77777777">
      <w:pPr>
        <w:pStyle w:val="Heading2"/>
      </w:pPr>
      <w:r>
        <w:t>14. CONCLUSIE EN GEVRAAGD BESLUIT</w:t>
      </w:r>
    </w:p>
    <w:p w:rsidR="00EA5D97" w:rsidRDefault="005311C6" w14:paraId="334C628D" w14:textId="77777777">
      <w:pPr>
        <w:pStyle w:val="Heading3"/>
      </w:pPr>
      <w:r>
        <w:t>14.1 Samenvatting van de gebreken</w:t>
      </w:r>
    </w:p>
    <w:p w:rsidR="00EA5D97" w:rsidRDefault="005311C6" w14:paraId="0CDA93DE" w14:textId="77777777">
      <w:r>
        <w:t>De discipline Gezondheid/EMF in het project-MER Ventilus v4 vertoont de volgende onoverkomelijke gebreken:</w:t>
      </w:r>
    </w:p>
    <w:p w:rsidR="00EA5D97" w:rsidP="0EBEC655" w:rsidRDefault="0EBEC655" w14:paraId="585385D3" w14:textId="77777777">
      <w:pPr>
        <w:pStyle w:val="ListNumber"/>
        <w:spacing w:after="60"/>
        <w:rPr/>
      </w:pPr>
      <w:r w:rsidRPr="3765CEF6" w:rsidR="2A813C1E">
        <w:rPr>
          <w:b w:val="1"/>
          <w:bCs w:val="1"/>
        </w:rPr>
        <w:t>EMF is de enige discipline zonder effectscore</w:t>
      </w:r>
      <w:r w:rsidR="2A813C1E">
        <w:rPr/>
        <w:t xml:space="preserve"> in het gehele MER, terwijl het de enige stressor betreft met een IARC-classificatie Groep 2B ("mogelijk kankerverwekkend"). Dit maakt het MER onvolledig in de zin van artikel 4.3.7 DABM en de MER-richtlijn 2014/52/EU (sectie 2).</w:t>
      </w:r>
    </w:p>
    <w:p w:rsidR="00EA5D97" w:rsidP="0EBEC655" w:rsidRDefault="0EBEC655" w14:paraId="60CBC7A2" w14:textId="77777777">
      <w:pPr>
        <w:pStyle w:val="ListNumber"/>
        <w:spacing w:after="60"/>
        <w:rPr/>
      </w:pPr>
      <w:r w:rsidRPr="3765CEF6" w:rsidR="2A813C1E">
        <w:rPr>
          <w:b w:val="1"/>
          <w:bCs w:val="1"/>
        </w:rPr>
        <w:t>Het voorzorgsbeginsel wordt niet toegepast.</w:t>
      </w:r>
      <w:r w:rsidR="2A813C1E">
        <w:rPr/>
        <w:t xml:space="preserve"> 170 nieuwe woningen in de 0,4 </w:t>
      </w:r>
      <w:r w:rsidR="2A813C1E">
        <w:rPr/>
        <w:t>uT</w:t>
      </w:r>
      <w:r w:rsidR="2A813C1E">
        <w:rPr/>
        <w:t xml:space="preserve"> contour, 13 bouwpercelen met potentieel honderden extra woningen, en 2 kinderopvangvoorzieningen in de contour, zonder bindende maatregelen. Dit is onverenigbaar met artikel 191 lid 2 VWEU, het Waddenzee-arrest (C-127/02), het Bayer-arrest (C-499/18 P) en het </w:t>
      </w:r>
      <w:r w:rsidR="2A813C1E">
        <w:rPr/>
        <w:t>standstill</w:t>
      </w:r>
      <w:r w:rsidR="2A813C1E">
        <w:rPr/>
        <w:t>-beginsel (art. 1.2.1 par. 2 DABM) (secties 3 en 8).</w:t>
      </w:r>
    </w:p>
    <w:p w:rsidR="00EA5D97" w:rsidP="0EBEC655" w:rsidRDefault="0EBEC655" w14:paraId="4452D6E7" w14:textId="77777777">
      <w:pPr>
        <w:pStyle w:val="ListNumber"/>
        <w:spacing w:after="60"/>
        <w:rPr/>
      </w:pPr>
      <w:r w:rsidRPr="3765CEF6" w:rsidR="2A813C1E">
        <w:rPr>
          <w:b w:val="1"/>
          <w:bCs w:val="1"/>
        </w:rPr>
        <w:t xml:space="preserve">De </w:t>
      </w:r>
      <w:r w:rsidRPr="3765CEF6" w:rsidR="2A813C1E">
        <w:rPr>
          <w:b w:val="1"/>
          <w:bCs w:val="1"/>
        </w:rPr>
        <w:t>belastingsfactor</w:t>
      </w:r>
      <w:r w:rsidRPr="3765CEF6" w:rsidR="2A813C1E">
        <w:rPr>
          <w:b w:val="1"/>
          <w:bCs w:val="1"/>
        </w:rPr>
        <w:t xml:space="preserve"> van 30% is geen worst-case</w:t>
      </w:r>
      <w:r w:rsidR="2A813C1E">
        <w:rPr/>
        <w:t xml:space="preserve"> maar een best </w:t>
      </w:r>
      <w:r w:rsidR="2A813C1E">
        <w:rPr/>
        <w:t>estimate</w:t>
      </w:r>
      <w:r w:rsidR="2A813C1E">
        <w:rPr/>
        <w:t xml:space="preserve"> die de toekomstige blootstelling onderschat. Er is geen gevoeligheidsanalyse uitgevoerd voor hogere scenario's (sectie 4).</w:t>
      </w:r>
    </w:p>
    <w:p w:rsidR="00EA5D97" w:rsidP="0EBEC655" w:rsidRDefault="0EBEC655" w14:paraId="4750C82C" w14:textId="77777777">
      <w:pPr>
        <w:pStyle w:val="ListNumber"/>
        <w:spacing w:after="60"/>
        <w:rPr/>
      </w:pPr>
      <w:r w:rsidRPr="3765CEF6" w:rsidR="2A813C1E">
        <w:rPr>
          <w:b w:val="1"/>
          <w:bCs w:val="1"/>
        </w:rPr>
        <w:t>De wetenschappelijke basis is verouderd.</w:t>
      </w:r>
      <w:r w:rsidR="2A813C1E">
        <w:rPr/>
        <w:t xml:space="preserve"> Het meest recente expertrapport (SCENIHR) dateert van 2015; het SCHEER 2024-advies is niet meegenomen (sectie 5).</w:t>
      </w:r>
    </w:p>
    <w:p w:rsidR="00EA5D97" w:rsidP="0EBEC655" w:rsidRDefault="0EBEC655" w14:paraId="40378968" w14:textId="77777777">
      <w:pPr>
        <w:pStyle w:val="ListNumber"/>
        <w:spacing w:after="60"/>
        <w:rPr/>
      </w:pPr>
      <w:r w:rsidRPr="3765CEF6" w:rsidR="2A813C1E">
        <w:rPr>
          <w:b w:val="1"/>
          <w:bCs w:val="1"/>
        </w:rPr>
        <w:t>Zeven recente studies (2021-2025) ondermijnen de MER-conclusies fundamenteel.</w:t>
      </w:r>
      <w:r w:rsidR="2A813C1E">
        <w:rPr/>
        <w:t xml:space="preserve"> Meta-analyses (</w:t>
      </w:r>
      <w:r w:rsidR="2A813C1E">
        <w:rPr/>
        <w:t>Seomun</w:t>
      </w:r>
      <w:r w:rsidR="2A813C1E">
        <w:rPr/>
        <w:t xml:space="preserve"> 2021, Brabant 2023), nationale case-control studies (GEOCAP/</w:t>
      </w:r>
      <w:r w:rsidR="2A813C1E">
        <w:rPr/>
        <w:t>Mancini</w:t>
      </w:r>
      <w:r w:rsidR="2A813C1E">
        <w:rPr/>
        <w:t xml:space="preserve"> 2025), dierexperimenteel bewijs (Brabant 2025, OR=4,45), bewijs voor CNS-tumoren (</w:t>
      </w:r>
      <w:r w:rsidR="2A813C1E">
        <w:rPr/>
        <w:t>Correa-Correa</w:t>
      </w:r>
      <w:r w:rsidR="2A813C1E">
        <w:rPr/>
        <w:t xml:space="preserve"> 2025) en een </w:t>
      </w:r>
      <w:r w:rsidR="2A813C1E">
        <w:rPr/>
        <w:t>geidentificeerd</w:t>
      </w:r>
      <w:r w:rsidR="2A813C1E">
        <w:rPr/>
        <w:t xml:space="preserve"> biologisch mechanisme (</w:t>
      </w:r>
      <w:r w:rsidR="2A813C1E">
        <w:rPr/>
        <w:t>Panagopoulos</w:t>
      </w:r>
      <w:r w:rsidR="2A813C1E">
        <w:rPr/>
        <w:t xml:space="preserve"> 2025, VGIC) weerleggen de drie voornaamste argumenten van het MER: "slechts statistisch", "geen mechanisme", "beperkt tot leukemie" (sectie 6).</w:t>
      </w:r>
    </w:p>
    <w:p w:rsidR="00EA5D97" w:rsidP="0EBEC655" w:rsidRDefault="0EBEC655" w14:paraId="474F6078" w14:textId="77777777">
      <w:pPr>
        <w:pStyle w:val="ListNumber"/>
        <w:spacing w:after="60"/>
        <w:rPr/>
      </w:pPr>
      <w:r w:rsidRPr="3765CEF6" w:rsidR="2A813C1E">
        <w:rPr>
          <w:b w:val="1"/>
          <w:bCs w:val="1"/>
        </w:rPr>
        <w:t>De onpartijdigheid van SCHEER wordt formeel onderzocht</w:t>
      </w:r>
      <w:r w:rsidR="2A813C1E">
        <w:rPr/>
        <w:t xml:space="preserve"> door de Europese Ombudsman (zaak 1898/2025/MIK) wegens belangenconflicten en selectieve bewijsbeoordeling. Het SCHEER-advies kan niet worden ingeroepen als weerlegging van het voorzorgsbeginsel zolang dit onderzoek loopt (sectie 7).</w:t>
      </w:r>
    </w:p>
    <w:p w:rsidR="00EA5D97" w:rsidP="0EBEC655" w:rsidRDefault="0EBEC655" w14:paraId="55416611" w14:textId="0F7BCC89">
      <w:pPr>
        <w:pStyle w:val="ListNumber"/>
        <w:spacing w:after="60"/>
        <w:rPr/>
      </w:pPr>
      <w:r w:rsidRPr="3765CEF6" w:rsidR="2A813C1E">
        <w:rPr>
          <w:b w:val="1"/>
          <w:bCs w:val="1"/>
        </w:rPr>
        <w:t xml:space="preserve">Het CJEU Bayer-arrest (C-499/18 P, 2021) en het EHRM </w:t>
      </w:r>
      <w:r w:rsidRPr="3765CEF6" w:rsidR="2A813C1E">
        <w:rPr>
          <w:b w:val="1"/>
          <w:bCs w:val="1"/>
        </w:rPr>
        <w:t>Fadeyeva</w:t>
      </w:r>
      <w:r w:rsidRPr="3765CEF6" w:rsidR="2A813C1E">
        <w:rPr>
          <w:b w:val="1"/>
          <w:bCs w:val="1"/>
        </w:rPr>
        <w:t>-arrest (2005)</w:t>
      </w:r>
      <w:r w:rsidR="2A813C1E">
        <w:rPr/>
        <w:t xml:space="preserve"> versterken de juridische verplichting tot toepassing van het voorzorgsbeginsel: geen uitputtende risicobeoordeling vereist, lopend onderzoek is geen obstakel, </w:t>
      </w:r>
      <w:r w:rsidR="64A26676">
        <w:rPr/>
        <w:t>financiële</w:t>
      </w:r>
      <w:r w:rsidR="2A813C1E">
        <w:rPr/>
        <w:t xml:space="preserve"> schade is irrelevant, en artikel 8 EVRM vereist een "fair </w:t>
      </w:r>
      <w:r w:rsidR="2A813C1E">
        <w:rPr/>
        <w:t>balance</w:t>
      </w:r>
      <w:r w:rsidR="2A813C1E">
        <w:rPr/>
        <w:t>" (sectie 8).</w:t>
      </w:r>
    </w:p>
    <w:p w:rsidR="00EA5D97" w:rsidP="0EBEC655" w:rsidRDefault="0EBEC655" w14:paraId="406A7D62" w14:textId="77777777">
      <w:pPr>
        <w:pStyle w:val="ListNumber"/>
        <w:spacing w:after="60"/>
        <w:rPr/>
      </w:pPr>
      <w:r w:rsidRPr="3765CEF6" w:rsidR="2A813C1E">
        <w:rPr>
          <w:b w:val="1"/>
          <w:bCs w:val="1"/>
        </w:rPr>
        <w:t xml:space="preserve">Het MER bevat een interne contradictie </w:t>
      </w:r>
      <w:r w:rsidRPr="3765CEF6" w:rsidR="2A813C1E">
        <w:rPr>
          <w:b w:val="1"/>
          <w:bCs w:val="1"/>
        </w:rPr>
        <w:t>inzake</w:t>
      </w:r>
      <w:r w:rsidRPr="3765CEF6" w:rsidR="2A813C1E">
        <w:rPr>
          <w:b w:val="1"/>
          <w:bCs w:val="1"/>
        </w:rPr>
        <w:t xml:space="preserve"> luchtkwaliteit.</w:t>
      </w:r>
      <w:r w:rsidR="2A813C1E">
        <w:rPr/>
        <w:t xml:space="preserve"> Het stelt dat er "geen bronnen van luchtemissies" zijn, maar erkent tegelijkertijd elektrische oplading van fijnstof, een hoger corona-risico bij HTLS-geleiders en </w:t>
      </w:r>
      <w:r w:rsidR="2A813C1E">
        <w:rPr/>
        <w:t>reeds</w:t>
      </w:r>
      <w:r w:rsidR="2A813C1E">
        <w:rPr/>
        <w:t xml:space="preserve"> overschreden luchtkwaliteitsnormen. Het corona-ioneneffect (verhoogde longdepositie tot factor 3,4, impactzone &gt;1 km) is niet onderzocht. Dit constitueert een schending van het zorgvuldigheids-, motiverings- en voorzorgsbeginsel (sectie 9).</w:t>
      </w:r>
    </w:p>
    <w:p w:rsidR="00EA5D97" w:rsidP="0EBEC655" w:rsidRDefault="0EBEC655" w14:paraId="6C49747E" w14:textId="77777777">
      <w:pPr>
        <w:pStyle w:val="ListNumber"/>
        <w:spacing w:after="60"/>
        <w:rPr/>
      </w:pPr>
      <w:r w:rsidRPr="3765CEF6" w:rsidR="2A813C1E">
        <w:rPr>
          <w:b w:val="1"/>
          <w:bCs w:val="1"/>
        </w:rPr>
        <w:t>Er zijn geen bindende milderende maatregelen.</w:t>
      </w:r>
      <w:r w:rsidR="2A813C1E">
        <w:rPr/>
        <w:t xml:space="preserve"> Het convenant Elia is opzegbaar, monitoring heeft geen sanctiemechanisme, en de beoordeling door het Departement Omgeving is een "rubber stamp" zonder eigen inhoudelijke toetsing (secties 10 en 11).</w:t>
      </w:r>
    </w:p>
    <w:p w:rsidR="00EA5D97" w:rsidP="0EBEC655" w:rsidRDefault="0EBEC655" w14:paraId="4B2D2298" w14:textId="4550BD1F">
      <w:pPr>
        <w:pStyle w:val="ListNumber"/>
        <w:spacing w:after="60"/>
        <w:rPr/>
      </w:pPr>
      <w:r w:rsidRPr="3765CEF6" w:rsidR="2A813C1E">
        <w:rPr>
          <w:b w:val="1"/>
          <w:bCs w:val="1"/>
        </w:rPr>
        <w:t xml:space="preserve">De keuze voor HTLS-geleiders </w:t>
      </w:r>
      <w:r w:rsidRPr="3765CEF6" w:rsidR="72D59E08">
        <w:rPr>
          <w:b w:val="1"/>
          <w:bCs w:val="1"/>
        </w:rPr>
        <w:t>creëert</w:t>
      </w:r>
      <w:r w:rsidRPr="3765CEF6" w:rsidR="2A813C1E">
        <w:rPr>
          <w:b w:val="1"/>
          <w:bCs w:val="1"/>
        </w:rPr>
        <w:t xml:space="preserve"> een cirkelredenering</w:t>
      </w:r>
      <w:r w:rsidR="2A813C1E">
        <w:rPr/>
        <w:t xml:space="preserve"> die EMF-reductie door afstandsoptimalisatie onmogelijk maakt (sectie 10).</w:t>
      </w:r>
    </w:p>
    <w:p w:rsidR="00EA5D97" w:rsidP="0EBEC655" w:rsidRDefault="0EBEC655" w14:paraId="07264965" w14:textId="77777777">
      <w:pPr>
        <w:pStyle w:val="ListNumber"/>
        <w:spacing w:after="60"/>
        <w:rPr/>
      </w:pPr>
      <w:r w:rsidRPr="3765CEF6" w:rsidR="2A813C1E">
        <w:rPr>
          <w:b w:val="1"/>
          <w:bCs w:val="1"/>
        </w:rPr>
        <w:t>Zeven gemeenten</w:t>
      </w:r>
      <w:r w:rsidR="2A813C1E">
        <w:rPr/>
        <w:t xml:space="preserve"> bevestigen deze gebreken in hun overwegend ongunstige adviezen (sectie 12).</w:t>
      </w:r>
    </w:p>
    <w:p w:rsidR="00EA5D97" w:rsidP="0EBEC655" w:rsidRDefault="0EBEC655" w14:paraId="0F420683" w14:textId="77777777">
      <w:pPr>
        <w:pStyle w:val="ListNumber"/>
        <w:spacing w:after="60"/>
        <w:rPr/>
      </w:pPr>
      <w:r w:rsidRPr="3765CEF6" w:rsidR="2A813C1E">
        <w:rPr>
          <w:b w:val="1"/>
          <w:bCs w:val="1"/>
        </w:rPr>
        <w:t>Het corona-ionendossier is wetenschappelijk robuust</w:t>
      </w:r>
      <w:r w:rsidR="2A813C1E">
        <w:rPr/>
        <w:t xml:space="preserve"> en bestand tegen de gangbare tegenargumenten (</w:t>
      </w:r>
      <w:r w:rsidR="2A813C1E">
        <w:rPr/>
        <w:t>Jeffers</w:t>
      </w:r>
      <w:r w:rsidR="2A813C1E">
        <w:rPr/>
        <w:t xml:space="preserve"> 2007, </w:t>
      </w:r>
      <w:r w:rsidR="2A813C1E">
        <w:rPr/>
        <w:t>Usmani</w:t>
      </w:r>
      <w:r w:rsidR="2A813C1E">
        <w:rPr/>
        <w:t xml:space="preserve"> 2020, </w:t>
      </w:r>
      <w:r w:rsidR="2A813C1E">
        <w:rPr/>
        <w:t>Toledano</w:t>
      </w:r>
      <w:r w:rsidR="2A813C1E">
        <w:rPr/>
        <w:t xml:space="preserve"> 2020, Wright 2023a). Acht peer-</w:t>
      </w:r>
      <w:r w:rsidR="2A813C1E">
        <w:rPr/>
        <w:t>reviewed</w:t>
      </w:r>
      <w:r w:rsidR="2A813C1E">
        <w:rPr/>
        <w:t xml:space="preserve"> studies uit 1996-2025 documenteren het volledige mechanisme van productie (corona-ontlading) via oplading (fijnstof) tot depositie (longen). De anticipatie op tegenargumenten versterkt het argument (sectie 9.5).</w:t>
      </w:r>
    </w:p>
    <w:p w:rsidR="00EA5D97" w:rsidP="0EBEC655" w:rsidRDefault="0EBEC655" w14:paraId="7E47EBB5" w14:textId="77777777">
      <w:pPr>
        <w:pStyle w:val="ListNumber"/>
        <w:spacing w:after="60"/>
        <w:rPr/>
      </w:pPr>
      <w:r w:rsidRPr="3765CEF6" w:rsidR="2A813C1E">
        <w:rPr>
          <w:b w:val="1"/>
          <w:bCs w:val="1"/>
        </w:rPr>
        <w:t>De Vlaamse paradox</w:t>
      </w:r>
      <w:r w:rsidR="2A813C1E">
        <w:rPr/>
        <w:t xml:space="preserve"> — de overheid erkent het risico, adviseert voorzorg, tekent een overeenkomst met Elia om blootstelling te minimaliseren, en verleent vervolgens een vergunning die de </w:t>
      </w:r>
      <w:r w:rsidR="2A813C1E">
        <w:rPr/>
        <w:t>voorzorgswaarden</w:t>
      </w:r>
      <w:r w:rsidR="2A813C1E">
        <w:rPr/>
        <w:t xml:space="preserve"> met factor 30-90 overschrijdt — constitueert een schending van het vertrouwensbeginsel (sectie 8.7).</w:t>
      </w:r>
    </w:p>
    <w:p w:rsidR="00EA5D97" w:rsidP="0EBEC655" w:rsidRDefault="0EBEC655" w14:paraId="15E5F8DD" w14:textId="77777777">
      <w:pPr>
        <w:pStyle w:val="ListNumber"/>
        <w:spacing w:after="60"/>
        <w:rPr/>
      </w:pPr>
      <w:r w:rsidRPr="3765CEF6" w:rsidR="2A813C1E">
        <w:rPr>
          <w:b w:val="1"/>
          <w:bCs w:val="1"/>
        </w:rPr>
        <w:t>Artikel 23 Grondwet</w:t>
      </w:r>
      <w:r w:rsidR="2A813C1E">
        <w:rPr/>
        <w:t xml:space="preserve"> (recht op bescherming van een gezond leefmilieu) en het </w:t>
      </w:r>
      <w:r w:rsidRPr="3765CEF6" w:rsidR="2A813C1E">
        <w:rPr>
          <w:b w:val="1"/>
          <w:bCs w:val="1"/>
        </w:rPr>
        <w:t>Pfizer-arrest</w:t>
      </w:r>
      <w:r w:rsidR="2A813C1E">
        <w:rPr/>
        <w:t xml:space="preserve"> (T-13/99: voorzorgsbeginsel als algemeen beginsel bij "specifieke, objectieve en samenhangende aanwijzingen") vormen aanvullende rechtsgronden die het MER niet toetst (secties 8.4 en 8.6).</w:t>
      </w:r>
    </w:p>
    <w:p w:rsidR="00EA5D97" w:rsidP="0EBEC655" w:rsidRDefault="0EBEC655" w14:paraId="04094D72" w14:textId="77777777">
      <w:pPr>
        <w:pStyle w:val="ListNumber"/>
        <w:spacing w:after="60"/>
        <w:rPr/>
      </w:pPr>
      <w:r w:rsidRPr="3765CEF6" w:rsidR="2A813C1E">
        <w:rPr>
          <w:b w:val="1"/>
          <w:bCs w:val="1"/>
        </w:rPr>
        <w:t>ANSES Frankrijk</w:t>
      </w:r>
      <w:r w:rsidR="2A813C1E">
        <w:rPr/>
        <w:t xml:space="preserve"> schat dat ~40.000 kinderen chronisch blootgesteld zijn aan &gt;0,4 µT en beveelt aan geen nieuwe scholen nabij hoogspanningslijnen te bouwen. </w:t>
      </w:r>
      <w:r w:rsidR="2A813C1E">
        <w:rPr/>
        <w:t>Ventilus</w:t>
      </w:r>
      <w:r w:rsidR="2A813C1E">
        <w:rPr/>
        <w:t xml:space="preserve"> brengt 170 nieuwe woningen en 2 kinderopvangvoorzieningen in de contour (sectie 8.5).</w:t>
      </w:r>
    </w:p>
    <w:p w:rsidR="00EA5D97" w:rsidP="0EBEC655" w:rsidRDefault="0EBEC655" w14:paraId="1761D349" w14:textId="77777777">
      <w:pPr>
        <w:pStyle w:val="ListNumber"/>
        <w:spacing w:after="60"/>
        <w:rPr/>
      </w:pPr>
      <w:r w:rsidRPr="3765CEF6" w:rsidR="2A813C1E">
        <w:rPr>
          <w:b w:val="1"/>
          <w:bCs w:val="1"/>
        </w:rPr>
        <w:t>Het MER kadert gezondheidszorgen als "psychosomatische effecten"</w:t>
      </w:r>
      <w:r w:rsidR="2A813C1E">
        <w:rPr/>
        <w:t xml:space="preserve"> (§13.5.5), hetgeen wetenschappelijk onderbouwde risico's trivialiseert (sectie 5.5).</w:t>
      </w:r>
    </w:p>
    <w:p w:rsidR="00EA5D97" w:rsidP="0EBEC655" w:rsidRDefault="0EBEC655" w14:paraId="09C39642" w14:textId="77777777">
      <w:pPr>
        <w:pStyle w:val="ListNumber"/>
        <w:spacing w:after="60"/>
        <w:rPr/>
      </w:pPr>
      <w:r w:rsidRPr="3765CEF6" w:rsidR="2A813C1E">
        <w:rPr>
          <w:b w:val="1"/>
          <w:bCs w:val="1"/>
        </w:rPr>
        <w:t>Het EMF-rekenmodel is slechts op 3 locaties gevalideerd</w:t>
      </w:r>
      <w:r w:rsidR="2A813C1E">
        <w:rPr/>
        <w:t xml:space="preserve"> gedurende enkele minuten. Over 82 km tracé is deze validatie statistisch verwaarloosbaar. Alle contourkaarten en de daarop gebaseerde effectbeoordelingen berusten op een onvoldoende gevalideerd model (sectie 4.6).</w:t>
      </w:r>
    </w:p>
    <w:p w:rsidR="00EA5D97" w:rsidP="0EBEC655" w:rsidRDefault="0EBEC655" w14:paraId="0E22F187" w14:textId="77777777">
      <w:pPr>
        <w:pStyle w:val="ListNumber"/>
        <w:spacing w:after="60"/>
        <w:rPr/>
      </w:pPr>
      <w:r w:rsidRPr="3765CEF6" w:rsidR="2A813C1E">
        <w:rPr>
          <w:b w:val="1"/>
          <w:bCs w:val="1"/>
        </w:rPr>
        <w:t>De KBA waardeert een geval van kinderleukemie op slechts EUR 0,3 tot 0,8 miljoen</w:t>
      </w:r>
      <w:r w:rsidR="2A813C1E">
        <w:rPr/>
        <w:t xml:space="preserve"> — ethisch onhoudbaar en wetenschappelijk te laag vergeleken met internationale DALY/QALY-waarderingen. De proportionaliteitsafweging steunt op een structurele onderschatting van het zwaarste gezondheidsrisico (sectie 6.8).</w:t>
      </w:r>
    </w:p>
    <w:p w:rsidR="00EA5D97" w:rsidP="0EBEC655" w:rsidRDefault="0EBEC655" w14:paraId="74368146" w14:textId="77777777">
      <w:pPr>
        <w:pStyle w:val="ListNumber"/>
        <w:spacing w:after="60"/>
        <w:rPr/>
      </w:pPr>
      <w:r w:rsidRPr="3765CEF6" w:rsidR="2A813C1E">
        <w:rPr>
          <w:b w:val="1"/>
          <w:bCs w:val="1"/>
        </w:rPr>
        <w:t>Het kinderdagverblijf De Mol te Lendelede</w:t>
      </w:r>
      <w:r w:rsidR="2A813C1E">
        <w:rPr/>
        <w:t xml:space="preserve"> illustreert dat de ondergrondse aanleg het tracé op 3 meter van de voorgevel brengt, terwijl bundeling langs de E403 een grotere afstand zou opleveren. De claim dat ondergronds "beter" is voor gevoelige bestemmingen wordt door dit concrete geval gefalsificeerd (sectie 4.7).</w:t>
      </w:r>
    </w:p>
    <w:p w:rsidR="00EA5D97" w:rsidP="0EBEC655" w:rsidRDefault="0EBEC655" w14:paraId="2DA4E9A9" w14:textId="77777777">
      <w:pPr>
        <w:pStyle w:val="ListNumber"/>
        <w:spacing w:after="60"/>
        <w:rPr/>
      </w:pPr>
      <w:r w:rsidRPr="3765CEF6" w:rsidR="2A813C1E">
        <w:rPr>
          <w:b w:val="1"/>
          <w:bCs w:val="1"/>
        </w:rPr>
        <w:t xml:space="preserve">De EMC-immuniteitsgrens (EN 61000-6-1: 3,77 </w:t>
      </w:r>
      <w:r w:rsidRPr="3765CEF6" w:rsidR="2A813C1E">
        <w:rPr>
          <w:b w:val="1"/>
          <w:bCs w:val="1"/>
        </w:rPr>
        <w:t>uT</w:t>
      </w:r>
      <w:r w:rsidRPr="3765CEF6" w:rsidR="2A813C1E">
        <w:rPr>
          <w:b w:val="1"/>
          <w:bCs w:val="1"/>
        </w:rPr>
        <w:t>) wordt overschreden</w:t>
      </w:r>
      <w:r w:rsidR="2A813C1E">
        <w:rPr/>
        <w:t xml:space="preserve"> nabij woningen en bedrijven. Melkrobots, weegbruggen, GPS-precisielandbouw, medische apparatuur en </w:t>
      </w:r>
      <w:r w:rsidR="2A813C1E">
        <w:rPr/>
        <w:t>domoticasystemen</w:t>
      </w:r>
      <w:r w:rsidR="2A813C1E">
        <w:rPr/>
        <w:t xml:space="preserve"> functioneren niet gegarandeerd correct. Het MER bevat geen EMC-impactanalyse (sectie 13).</w:t>
      </w:r>
    </w:p>
    <w:p w:rsidR="00EA5D97" w:rsidP="0EBEC655" w:rsidRDefault="0EBEC655" w14:paraId="49575461" w14:textId="77777777">
      <w:pPr>
        <w:pStyle w:val="ListNumber"/>
        <w:spacing w:after="60"/>
        <w:rPr/>
      </w:pPr>
      <w:r w:rsidRPr="3765CEF6" w:rsidR="2A813C1E">
        <w:rPr>
          <w:b w:val="1"/>
          <w:bCs w:val="1"/>
        </w:rPr>
        <w:t xml:space="preserve">Het Vlaamse Binnenmilieubesluit hanteert een actieniveau van 20 </w:t>
      </w:r>
      <w:r w:rsidRPr="3765CEF6" w:rsidR="2A813C1E">
        <w:rPr>
          <w:b w:val="1"/>
          <w:bCs w:val="1"/>
        </w:rPr>
        <w:t>uT</w:t>
      </w:r>
      <w:r w:rsidRPr="3765CEF6" w:rsidR="2A813C1E">
        <w:rPr>
          <w:b w:val="1"/>
          <w:bCs w:val="1"/>
        </w:rPr>
        <w:t xml:space="preserve"> binnenshuis</w:t>
      </w:r>
      <w:r w:rsidR="2A813C1E">
        <w:rPr/>
        <w:t>, maar buiten geldt geen bescherming. Magnetische velden penetreren gevels ongehinderd. De regelgevende inconsistentie tussen binnen- en buitenbescherming raakt het gelijkheids- en coherentiebeginsel (sectie 8.10).</w:t>
      </w:r>
    </w:p>
    <w:p w:rsidR="00EA5D97" w:rsidP="0EBEC655" w:rsidRDefault="0EBEC655" w14:paraId="7543E376" w14:textId="77777777">
      <w:pPr>
        <w:pStyle w:val="ListNumber"/>
        <w:spacing w:after="60"/>
        <w:rPr/>
      </w:pPr>
      <w:r w:rsidRPr="3765CEF6" w:rsidR="2A813C1E">
        <w:rPr>
          <w:b w:val="1"/>
          <w:bCs w:val="1"/>
        </w:rPr>
        <w:t>Richtlijn 2013/35/EU beschermt werknemers tegen EMF</w:t>
      </w:r>
      <w:r w:rsidR="2A813C1E">
        <w:rPr/>
        <w:t xml:space="preserve">, maar burgers die permanent naast de 380 kV-verbinding wonen genieten geen vergelijkbare bescherming. Deze ongelijkheid — een werknemer geniet bescherming bij 8 uur blootstelling, een kind niet bij 24 uur permanente blootstelling — raakt het gelijkheidsbeginsel en versterkt het </w:t>
      </w:r>
      <w:r w:rsidR="2A813C1E">
        <w:rPr/>
        <w:t>voorzorgsargument</w:t>
      </w:r>
      <w:r w:rsidR="2A813C1E">
        <w:rPr/>
        <w:t xml:space="preserve"> (sectie 8.11).</w:t>
      </w:r>
    </w:p>
    <w:p w:rsidR="00EA5D97" w:rsidRDefault="005311C6" w14:paraId="2A3549C4" w14:textId="77777777">
      <w:pPr>
        <w:pStyle w:val="Heading3"/>
      </w:pPr>
      <w:r>
        <w:t>14.2 Gevraagd besluit</w:t>
      </w:r>
    </w:p>
    <w:p w:rsidR="00EA5D97" w:rsidRDefault="005311C6" w14:paraId="2ADF7204" w14:textId="77777777">
      <w:r>
        <w:rPr>
          <w:b/>
        </w:rPr>
        <w:t>Primair:</w:t>
      </w:r>
      <w:r>
        <w:t xml:space="preserve"> Ondergetekende verzoekt de vergunningverlenende overheid om de omgevingsvergunningsaanvraag OMV 2025025781 </w:t>
      </w:r>
      <w:r>
        <w:rPr>
          <w:b/>
        </w:rPr>
        <w:t>te weigeren</w:t>
      </w:r>
      <w:r>
        <w:t>, mede op grond van het feit dat het project-MER Ventilus v4:</w:t>
      </w:r>
    </w:p>
    <w:p w:rsidR="00EA5D97" w:rsidRDefault="0EBEC655" w14:paraId="1D56B61E" w14:textId="42ADA0B5">
      <w:pPr>
        <w:pStyle w:val="ListBullet"/>
        <w:spacing w:after="60"/>
        <w:ind w:left="720"/>
      </w:pPr>
      <w:r>
        <w:t xml:space="preserve">het ernstigste </w:t>
      </w:r>
      <w:r w:rsidR="33136379">
        <w:t>potentiële</w:t>
      </w:r>
      <w:r>
        <w:t xml:space="preserve"> gezondheidseffect (EMF-blootstelling van 170+ woningen in de IARC Groep 2B-risicozone) niet heeft beoordeeld conform de wettelijke vereisten;</w:t>
      </w:r>
    </w:p>
    <w:p w:rsidR="00EA5D97" w:rsidRDefault="005311C6" w14:paraId="5E26CA8B" w14:textId="77777777">
      <w:pPr>
        <w:pStyle w:val="ListBullet"/>
        <w:spacing w:after="60"/>
        <w:ind w:left="720"/>
      </w:pPr>
      <w:r>
        <w:t>het voorzorgsbeginsel heeft genegeerd, in strijd met het Waddenzee-arrest (C-127/02) en het Bayer-arrest (C-499/18 P);</w:t>
      </w:r>
    </w:p>
    <w:p w:rsidR="00EA5D97" w:rsidRDefault="005311C6" w14:paraId="595D78F5" w14:textId="77777777">
      <w:pPr>
        <w:pStyle w:val="ListBullet"/>
        <w:spacing w:after="60"/>
        <w:ind w:left="720"/>
      </w:pPr>
      <w:r>
        <w:t>geen bindende milderende maatregelen voorstelt;</w:t>
      </w:r>
    </w:p>
    <w:p w:rsidR="00EA5D97" w:rsidRDefault="005311C6" w14:paraId="61CCC39E" w14:textId="77777777">
      <w:pPr>
        <w:pStyle w:val="ListBullet"/>
        <w:spacing w:after="60"/>
        <w:ind w:left="720"/>
      </w:pPr>
      <w:r>
        <w:t>de meest recente wetenschappelijke kennis (7 peer-reviewed studies, 2021-2025, waaronder experimenteel bewijs met OR=4,45) integraal negeert;</w:t>
      </w:r>
    </w:p>
    <w:p w:rsidR="00EA5D97" w:rsidRDefault="005311C6" w14:paraId="51E50E8E" w14:textId="77777777">
      <w:pPr>
        <w:pStyle w:val="ListBullet"/>
        <w:spacing w:after="60"/>
        <w:ind w:left="720"/>
      </w:pPr>
      <w:r>
        <w:t>een intern tegenstrijdige beoordeling bevat van de luchtkwaliteitseffecten van corona-ionen; en</w:t>
      </w:r>
    </w:p>
    <w:p w:rsidR="00EA5D97" w:rsidRDefault="005311C6" w14:paraId="5AC9FF91" w14:textId="77777777">
      <w:pPr>
        <w:pStyle w:val="ListBullet"/>
        <w:spacing w:after="60"/>
        <w:ind w:left="720"/>
      </w:pPr>
      <w:r>
        <w:t>steunt op een expertadvies (SCHEER) waarvan de onpartijdigheid formeel wordt onderzocht door de Europese Ombudsman (zaak 1898/2025/MIK);</w:t>
      </w:r>
    </w:p>
    <w:p w:rsidR="00EA5D97" w:rsidRDefault="005311C6" w14:paraId="314AECA3" w14:textId="77777777">
      <w:pPr>
        <w:pStyle w:val="ListBullet"/>
        <w:spacing w:after="60"/>
        <w:ind w:left="720"/>
      </w:pPr>
      <w:r>
        <w:t>de EMC-immuniteitsgrens (EN 61000-6-1: 3,77 uT) overschrijdt nabij woningen en bedrijven zonder enige analyse van de gevolgen voor elektronische apparatuur; en</w:t>
      </w:r>
    </w:p>
    <w:p w:rsidR="00EA5D97" w:rsidRDefault="005311C6" w14:paraId="4E9E2016" w14:textId="77777777">
      <w:pPr>
        <w:pStyle w:val="ListBullet"/>
        <w:spacing w:after="60"/>
        <w:ind w:left="720"/>
      </w:pPr>
      <w:r>
        <w:t>het EMF-rekenmodel slechts op 3 locaties over enkele minuten heeft gevalideerd voor een tracé van 82 km.</w:t>
      </w:r>
    </w:p>
    <w:p w:rsidR="00EA5D97" w:rsidRDefault="005311C6" w14:paraId="448B33EA" w14:textId="77777777">
      <w:r>
        <w:rPr>
          <w:b/>
        </w:rPr>
        <w:t>Subsidiair:</w:t>
      </w:r>
      <w:r>
        <w:t xml:space="preserve"> Indien de vergunningverlenende overheid oordeelt dat een weigering niet aan de orde is, verzoekt ondergetekende dat een </w:t>
      </w:r>
      <w:r>
        <w:rPr>
          <w:b/>
        </w:rPr>
        <w:t>aanvullend of geheel nieuw milieueffectenrapport</w:t>
      </w:r>
      <w:r>
        <w:t xml:space="preserve"> wordt opgesteld dat:</w:t>
      </w:r>
    </w:p>
    <w:p w:rsidR="00EA5D97" w:rsidRDefault="005311C6" w14:paraId="129E7014" w14:textId="77777777">
      <w:pPr>
        <w:pStyle w:val="ListBullet"/>
        <w:spacing w:after="60"/>
        <w:ind w:left="720"/>
      </w:pPr>
      <w:r>
        <w:t>een effectscore toekent aan EMF-blootstelling, op gelijke voet met alle andere stressoren;</w:t>
      </w:r>
    </w:p>
    <w:p w:rsidR="00EA5D97" w:rsidRDefault="005311C6" w14:paraId="31439FFE" w14:textId="77777777">
      <w:pPr>
        <w:pStyle w:val="ListBullet"/>
        <w:spacing w:after="60"/>
        <w:ind w:left="720"/>
      </w:pPr>
      <w:r>
        <w:t>de IARC-classificatie Groep 2B expliciet vermeldt en toetst;</w:t>
      </w:r>
    </w:p>
    <w:p w:rsidR="00EA5D97" w:rsidRDefault="005311C6" w14:paraId="2DAF75A6" w14:textId="77777777">
      <w:pPr>
        <w:pStyle w:val="ListBullet"/>
        <w:spacing w:after="60"/>
        <w:ind w:left="720"/>
      </w:pPr>
      <w:r>
        <w:t>het SCHEER 2024-advies en recente epidemiologische studies (post-2015) integreert, met name Seomun et al. (2021), Brabant et al. (2023, 2025), GEOCAP/Mancini et al. (2025), Correa-Correa et al. (2025), Malagoli et al. (2023) en Panagopoulos et al. (2025);</w:t>
      </w:r>
    </w:p>
    <w:p w:rsidR="00EA5D97" w:rsidRDefault="005311C6" w14:paraId="18E8F056" w14:textId="77777777">
      <w:pPr>
        <w:pStyle w:val="ListBullet"/>
        <w:spacing w:after="60"/>
        <w:ind w:left="720"/>
      </w:pPr>
      <w:r>
        <w:t>het dierexperimenteel bewijs (Brabant 2025, OR=4,45) en het VGIC-mechanisme (Panagopoulos 2025) bespreekt en hun implicaties voor de causaliteitsbeoordeling analyseert;</w:t>
      </w:r>
    </w:p>
    <w:p w:rsidR="00EA5D97" w:rsidRDefault="005311C6" w14:paraId="7A351AA0" w14:textId="77777777">
      <w:pPr>
        <w:pStyle w:val="ListBullet"/>
        <w:spacing w:after="60"/>
        <w:ind w:left="720"/>
      </w:pPr>
      <w:r>
        <w:t>het corona-ioneneffect op de luchtkwaliteit onderzoekt en beoordeelt, met inbegrip van de cumulatie met E403-verkeersemissies en de reeds overschreden GAW voor NO2, PM10 en PM2,5;</w:t>
      </w:r>
    </w:p>
    <w:p w:rsidR="00EA5D97" w:rsidRDefault="005311C6" w14:paraId="3332B23F" w14:textId="77777777">
      <w:pPr>
        <w:pStyle w:val="ListBullet"/>
        <w:spacing w:after="60"/>
        <w:ind w:left="720"/>
      </w:pPr>
      <w:r>
        <w:t>een gevoeligheidsanalyse uitvoert voor belastingsfactoren van 40%, 50%, 80% en 100%;</w:t>
      </w:r>
    </w:p>
    <w:p w:rsidR="00EA5D97" w:rsidRDefault="005311C6" w14:paraId="6EC04A8C" w14:textId="77777777">
      <w:pPr>
        <w:pStyle w:val="ListBullet"/>
        <w:spacing w:after="60"/>
        <w:ind w:left="720"/>
      </w:pPr>
      <w:r>
        <w:t>het maximaal aantal toekomstige woningen op de 13 bouwpercelen in kaart brengt;</w:t>
      </w:r>
    </w:p>
    <w:p w:rsidR="00EA5D97" w:rsidRDefault="005311C6" w14:paraId="728DA365" w14:textId="77777777">
      <w:pPr>
        <w:pStyle w:val="ListBullet"/>
        <w:spacing w:after="60"/>
        <w:ind w:left="720"/>
      </w:pPr>
      <w:r>
        <w:t>een vergelijkende analyse bevat van de EMF-contouren bij HTLS versus AMS versus ondergrondse aanleg;</w:t>
      </w:r>
    </w:p>
    <w:p w:rsidR="00EA5D97" w:rsidRDefault="005311C6" w14:paraId="1C8AA254" w14:textId="77777777">
      <w:pPr>
        <w:pStyle w:val="ListBullet"/>
        <w:spacing w:after="60"/>
        <w:ind w:left="720"/>
      </w:pPr>
      <w:r>
        <w:t>de cumulatieve EMF-blootstelling van de nieuwe 380 kV-verbinding bovenop de bestaande 150 kV beoordeelt;</w:t>
      </w:r>
    </w:p>
    <w:p w:rsidR="00EA5D97" w:rsidRDefault="005311C6" w14:paraId="7EEFBD88" w14:textId="77777777">
      <w:pPr>
        <w:pStyle w:val="ListBullet"/>
        <w:spacing w:after="60"/>
        <w:ind w:left="720"/>
      </w:pPr>
      <w:r>
        <w:t>het voorzorgsbeginsel toepast conform artikel 191 lid 2 VWEU, het Waddenzee-arrest en het Bayer-arrest;</w:t>
      </w:r>
    </w:p>
    <w:p w:rsidR="00EA5D97" w:rsidRDefault="005311C6" w14:paraId="72821B9A" w14:textId="77777777">
      <w:pPr>
        <w:pStyle w:val="ListBullet"/>
        <w:spacing w:after="60"/>
        <w:ind w:left="720"/>
      </w:pPr>
      <w:r>
        <w:t>artikel 8 EVRM (recht op prive- en gezinsleven) en artikel 7bis Belgische Grondwet (duurzame ontwikkeling) als toetsingskader hanteert;</w:t>
      </w:r>
    </w:p>
    <w:p w:rsidR="00EA5D97" w:rsidRDefault="005311C6" w14:paraId="6B76370D" w14:textId="77777777">
      <w:pPr>
        <w:pStyle w:val="ListBullet"/>
        <w:spacing w:after="60"/>
        <w:ind w:left="720"/>
      </w:pPr>
      <w:r>
        <w:t>de beoordeling door het Departement Omgeving herziet op basis van een eigen, onafhankelijke technische analyse;</w:t>
      </w:r>
    </w:p>
    <w:p w:rsidR="00EA5D97" w:rsidRDefault="005311C6" w14:paraId="3EEDE2A5" w14:textId="77777777">
      <w:pPr>
        <w:pStyle w:val="ListBullet"/>
        <w:spacing w:after="60"/>
        <w:ind w:left="720"/>
      </w:pPr>
      <w:r>
        <w:t>het EMF-rekenmodel valideert op een statistisch significant aantal meetlocaties en over representatieve meetperioden, in plaats van op slechts 3 locaties gedurende enkele minuten;</w:t>
      </w:r>
    </w:p>
    <w:p w:rsidR="00EA5D97" w:rsidRDefault="005311C6" w14:paraId="0DF0D74C" w14:textId="77777777">
      <w:pPr>
        <w:pStyle w:val="ListBullet"/>
        <w:spacing w:after="60"/>
        <w:ind w:left="720"/>
      </w:pPr>
      <w:r>
        <w:t>een EMC-impactanalyse uitvoert die in kaart brengt hoeveel woningen en bedrijven zich bevinden in de zone waar de immuniteitsgrens (EN 61000-6-1: 3,77 uT) wordt overschreden, en de gevolgen voor medische apparatuur, precisielandbouw en overige elektronische systemen beoordeelt;</w:t>
      </w:r>
    </w:p>
    <w:p w:rsidR="00EA5D97" w:rsidRDefault="005311C6" w14:paraId="3B3FE3B1" w14:textId="77777777">
      <w:pPr>
        <w:pStyle w:val="ListBullet"/>
        <w:spacing w:after="60"/>
        <w:ind w:left="720"/>
      </w:pPr>
      <w:r>
        <w:t>de regelgevende inconsistenties tussen het Binnenmilieubesluit (20 uT actieniveau binnenshuis), Richtlijn 2013/35/EU (werknemersbescherming) en de afwezigheid van bescherming voor permanent blootgestelde omwonenden analyseert en verantwoordt.</w:t>
      </w:r>
    </w:p>
    <w:p w:rsidR="00EA5D97" w:rsidRDefault="005311C6" w14:paraId="6A27CED4" w14:textId="77777777">
      <w:r>
        <w:rPr>
          <w:b/>
        </w:rPr>
        <w:t>Meer subsidiair:</w:t>
      </w:r>
      <w:r>
        <w:t xml:space="preserve"> Indien de vergunning desondanks wordt verleend, verzoekt ondergetekende dat ten minste de volgende </w:t>
      </w:r>
      <w:r>
        <w:rPr>
          <w:b/>
        </w:rPr>
        <w:t>stringente vergunningsvoorwaarden</w:t>
      </w:r>
      <w:r>
        <w:t xml:space="preserve"> worden opgelegd:</w:t>
      </w:r>
    </w:p>
    <w:p w:rsidR="00EA5D97" w:rsidRDefault="005311C6" w14:paraId="226DEBD0" w14:textId="77777777">
      <w:pPr>
        <w:pStyle w:val="ListBullet"/>
        <w:spacing w:after="60"/>
        <w:ind w:left="720"/>
      </w:pPr>
      <w:r>
        <w:t xml:space="preserve">Bindende EMF-grenswaarde van 0,4 uT als jaargemiddelde aan de gevel van elke woning, met een </w:t>
      </w:r>
      <w:r>
        <w:rPr>
          <w:b/>
        </w:rPr>
        <w:t>afdwingbaar sanctiemechanisme</w:t>
      </w:r>
      <w:r>
        <w:t xml:space="preserve"> bij overschrijding (waaronder verplichting tot aanpassing van de installatie of uitkoop van de woning);</w:t>
      </w:r>
    </w:p>
    <w:p w:rsidR="00EA5D97" w:rsidRDefault="005311C6" w14:paraId="23C09AEC" w14:textId="77777777">
      <w:pPr>
        <w:pStyle w:val="ListBullet"/>
        <w:spacing w:after="60"/>
        <w:ind w:left="720"/>
      </w:pPr>
      <w:r>
        <w:t xml:space="preserve">Verankering van het convenant in </w:t>
      </w:r>
      <w:r>
        <w:rPr>
          <w:b/>
        </w:rPr>
        <w:t>vergunningsvoorwaarden</w:t>
      </w:r>
      <w:r>
        <w:t>, zodanig dat opzegging door Elia niet leidt tot het vervallen van de EMF-beperkende maatregelen;</w:t>
      </w:r>
    </w:p>
    <w:p w:rsidR="00EA5D97" w:rsidRDefault="005311C6" w14:paraId="06DDC92B" w14:textId="77777777">
      <w:pPr>
        <w:pStyle w:val="ListBullet"/>
        <w:spacing w:after="60"/>
        <w:ind w:left="720"/>
      </w:pPr>
      <w:r>
        <w:rPr>
          <w:b/>
        </w:rPr>
        <w:t>Periodieke herberekening</w:t>
      </w:r>
      <w:r>
        <w:t xml:space="preserve"> van de 0,4 uT contour bij elke significante wijziging van de belastingsituatie (waaronder de aansluiting van het Energieeiland Prinses Elisabeth);</w:t>
      </w:r>
    </w:p>
    <w:p w:rsidR="00EA5D97" w:rsidRDefault="005311C6" w14:paraId="66D908A6" w14:textId="77777777">
      <w:pPr>
        <w:pStyle w:val="ListBullet"/>
        <w:spacing w:after="60"/>
        <w:ind w:left="720"/>
      </w:pPr>
      <w:r>
        <w:rPr>
          <w:b/>
        </w:rPr>
        <w:t>Bouwverbod</w:t>
      </w:r>
      <w:r>
        <w:t xml:space="preserve"> voor de 13 onbebouwde bouwpercelen die zich in de contour bevinden, dan wel bestemmingswijziging naar een niet-gevoelige bestemming;</w:t>
      </w:r>
    </w:p>
    <w:p w:rsidR="00EA5D97" w:rsidRDefault="005311C6" w14:paraId="2FB3036B" w14:textId="77777777">
      <w:pPr>
        <w:pStyle w:val="ListBullet"/>
        <w:spacing w:after="60"/>
        <w:ind w:left="720"/>
      </w:pPr>
      <w:r>
        <w:rPr>
          <w:b/>
        </w:rPr>
        <w:t>Uitbreiding ondergrondse aanleg</w:t>
      </w:r>
      <w:r>
        <w:t xml:space="preserve"> ter hoogte van de zones met de hoogste dichtheid aan blootgestelde woningen;</w:t>
      </w:r>
    </w:p>
    <w:p w:rsidR="00EA5D97" w:rsidRDefault="005311C6" w14:paraId="7BA858B1" w14:textId="77777777">
      <w:pPr>
        <w:pStyle w:val="ListBullet"/>
        <w:spacing w:after="60"/>
        <w:ind w:left="720"/>
      </w:pPr>
      <w:r>
        <w:rPr>
          <w:b/>
        </w:rPr>
        <w:t>Monitoring van corona-ionen en luchtkwaliteit</w:t>
      </w:r>
      <w:r>
        <w:t xml:space="preserve"> in de impactzone van de bovengrondse verbinding, met name ter hoogte van de E403-bundeling, inclusief meting van geladen fijnstof (PM2,5, UFP) en ozon;</w:t>
      </w:r>
    </w:p>
    <w:p w:rsidR="00EA5D97" w:rsidRDefault="005311C6" w14:paraId="2BB849EE" w14:textId="77777777">
      <w:pPr>
        <w:pStyle w:val="ListBullet"/>
        <w:spacing w:after="60"/>
        <w:ind w:left="720"/>
      </w:pPr>
      <w:r>
        <w:rPr>
          <w:b/>
        </w:rPr>
        <w:t>Onafhankelijke monitoring</w:t>
      </w:r>
      <w:r>
        <w:t xml:space="preserve"> van de EMF-waarden door een instantie die geen financiele relatie heeft met Elia, met publieke rapportering van de resultaten;</w:t>
      </w:r>
    </w:p>
    <w:p w:rsidR="00EA5D97" w:rsidRDefault="005311C6" w14:paraId="34FFD147" w14:textId="77777777">
      <w:pPr>
        <w:pStyle w:val="ListBullet"/>
        <w:spacing w:after="60"/>
        <w:ind w:left="720"/>
      </w:pPr>
      <w:r>
        <w:rPr>
          <w:b/>
        </w:rPr>
        <w:t>EMC-beschermingszone</w:t>
      </w:r>
      <w:r>
        <w:t xml:space="preserve"> waarin de magnetische veldsterkte de immuniteitsgrens van 3,77 uT (EN 61000-6-1) niet overschrijdt ter hoogte van woningen en bedrijven, dan wel een compensatieregeling voor aantoonbare apparatuurstoringen binnen de overschrijdingszone.</w:t>
      </w:r>
    </w:p>
    <w:p w:rsidR="00EA5D97" w:rsidRDefault="00EA5D97" w14:paraId="62486C05" w14:textId="77777777">
      <w:pPr>
        <w:pBdr>
          <w:bottom w:val="single" w:color="CCCCCC" w:sz="6" w:space="1"/>
        </w:pBdr>
        <w:spacing w:before="240" w:after="240"/>
      </w:pPr>
    </w:p>
    <w:p w:rsidR="00EA5D97" w:rsidRDefault="005311C6" w14:paraId="56F32DDB" w14:textId="77777777">
      <w:pPr>
        <w:pStyle w:val="Heading3"/>
      </w:pPr>
      <w:r>
        <w:t>Juridische grondslag (samenvatting)</w:t>
      </w:r>
    </w:p>
    <w:tbl>
      <w:tblPr>
        <w:tblStyle w:val="TableGrid"/>
        <w:tblW w:w="0" w:type="auto"/>
        <w:tblLook w:val="04A0" w:firstRow="1" w:lastRow="0" w:firstColumn="1" w:lastColumn="0" w:noHBand="0" w:noVBand="1"/>
      </w:tblPr>
      <w:tblGrid>
        <w:gridCol w:w="4703"/>
        <w:gridCol w:w="4703"/>
      </w:tblGrid>
      <w:tr w:rsidR="00EA5D97" w:rsidTr="0EBEC655" w14:paraId="33711826" w14:textId="77777777">
        <w:tc>
          <w:tcPr>
            <w:tcW w:w="4703" w:type="dxa"/>
            <w:shd w:val="clear" w:color="auto" w:fill="244061" w:themeFill="accent1" w:themeFillShade="80"/>
          </w:tcPr>
          <w:p w:rsidR="00EA5D97" w:rsidRDefault="005311C6" w14:paraId="7A466752" w14:textId="77777777">
            <w:pPr>
              <w:spacing w:before="40" w:after="40"/>
            </w:pPr>
            <w:r>
              <w:rPr>
                <w:b/>
                <w:color w:val="FFFFFF"/>
                <w:sz w:val="19"/>
              </w:rPr>
              <w:t>Rechtsgrond</w:t>
            </w:r>
          </w:p>
        </w:tc>
        <w:tc>
          <w:tcPr>
            <w:tcW w:w="4703" w:type="dxa"/>
            <w:shd w:val="clear" w:color="auto" w:fill="244061" w:themeFill="accent1" w:themeFillShade="80"/>
          </w:tcPr>
          <w:p w:rsidR="00EA5D97" w:rsidRDefault="005311C6" w14:paraId="47E8B784" w14:textId="77777777">
            <w:pPr>
              <w:spacing w:before="40" w:after="40"/>
            </w:pPr>
            <w:r>
              <w:rPr>
                <w:b/>
                <w:color w:val="FFFFFF"/>
                <w:sz w:val="19"/>
              </w:rPr>
              <w:t>Toepassing</w:t>
            </w:r>
          </w:p>
        </w:tc>
      </w:tr>
      <w:tr w:rsidR="00EA5D97" w:rsidTr="0EBEC655" w14:paraId="66D885C8" w14:textId="77777777">
        <w:tc>
          <w:tcPr>
            <w:tcW w:w="4703" w:type="dxa"/>
            <w:shd w:val="clear" w:color="auto" w:fill="F2F6FC"/>
          </w:tcPr>
          <w:p w:rsidR="00EA5D97" w:rsidRDefault="005311C6" w14:paraId="67ABC147" w14:textId="77777777">
            <w:pPr>
              <w:spacing w:before="40" w:after="40"/>
            </w:pPr>
            <w:r>
              <w:rPr>
                <w:sz w:val="19"/>
              </w:rPr>
              <w:t>Art. 191 lid 2 VWEU</w:t>
            </w:r>
          </w:p>
        </w:tc>
        <w:tc>
          <w:tcPr>
            <w:tcW w:w="4703" w:type="dxa"/>
            <w:shd w:val="clear" w:color="auto" w:fill="F2F6FC"/>
          </w:tcPr>
          <w:p w:rsidR="00EA5D97" w:rsidRDefault="005311C6" w14:paraId="4C2883BD" w14:textId="77777777">
            <w:pPr>
              <w:spacing w:before="40" w:after="40"/>
            </w:pPr>
            <w:r>
              <w:rPr>
                <w:sz w:val="19"/>
              </w:rPr>
              <w:t>Voorzorgsbeginsel -- 170 woningen in IARC 2B-zone</w:t>
            </w:r>
          </w:p>
        </w:tc>
      </w:tr>
      <w:tr w:rsidR="00EA5D97" w:rsidTr="0EBEC655" w14:paraId="0169066F" w14:textId="77777777">
        <w:tc>
          <w:tcPr>
            <w:tcW w:w="4703" w:type="dxa"/>
          </w:tcPr>
          <w:p w:rsidR="00EA5D97" w:rsidRDefault="005311C6" w14:paraId="516B08EC" w14:textId="77777777">
            <w:pPr>
              <w:spacing w:before="40" w:after="40"/>
            </w:pPr>
            <w:r>
              <w:rPr>
                <w:sz w:val="19"/>
              </w:rPr>
              <w:t>Art. 4.3.7 DABM</w:t>
            </w:r>
          </w:p>
        </w:tc>
        <w:tc>
          <w:tcPr>
            <w:tcW w:w="4703" w:type="dxa"/>
          </w:tcPr>
          <w:p w:rsidR="00EA5D97" w:rsidRDefault="005311C6" w14:paraId="5DE87779" w14:textId="77777777">
            <w:pPr>
              <w:spacing w:before="40" w:after="40"/>
            </w:pPr>
            <w:r>
              <w:rPr>
                <w:sz w:val="19"/>
              </w:rPr>
              <w:t>Volledigheid MER -- EMF niet gescoord</w:t>
            </w:r>
          </w:p>
        </w:tc>
      </w:tr>
      <w:tr w:rsidR="00EA5D97" w:rsidTr="0EBEC655" w14:paraId="5441B437" w14:textId="77777777">
        <w:tc>
          <w:tcPr>
            <w:tcW w:w="4703" w:type="dxa"/>
            <w:shd w:val="clear" w:color="auto" w:fill="F2F6FC"/>
          </w:tcPr>
          <w:p w:rsidR="00EA5D97" w:rsidRDefault="005311C6" w14:paraId="55D6B5B9" w14:textId="77777777">
            <w:pPr>
              <w:spacing w:before="40" w:after="40"/>
            </w:pPr>
            <w:r>
              <w:rPr>
                <w:sz w:val="19"/>
              </w:rPr>
              <w:t>Art. 1.2.1 par. 2 DABM</w:t>
            </w:r>
          </w:p>
        </w:tc>
        <w:tc>
          <w:tcPr>
            <w:tcW w:w="4703" w:type="dxa"/>
            <w:shd w:val="clear" w:color="auto" w:fill="F2F6FC"/>
          </w:tcPr>
          <w:p w:rsidR="00EA5D97" w:rsidRDefault="005311C6" w14:paraId="339B583C" w14:textId="77777777">
            <w:pPr>
              <w:spacing w:before="40" w:after="40"/>
            </w:pPr>
            <w:r>
              <w:rPr>
                <w:sz w:val="19"/>
              </w:rPr>
              <w:t>Standstill-beginsel -- 170 nieuwe woningen in contour</w:t>
            </w:r>
          </w:p>
        </w:tc>
      </w:tr>
      <w:tr w:rsidR="00EA5D97" w:rsidTr="0EBEC655" w14:paraId="1BDEAA39" w14:textId="77777777">
        <w:tc>
          <w:tcPr>
            <w:tcW w:w="4703" w:type="dxa"/>
          </w:tcPr>
          <w:p w:rsidR="00EA5D97" w:rsidRDefault="005311C6" w14:paraId="6232F375" w14:textId="77777777">
            <w:pPr>
              <w:spacing w:before="40" w:after="40"/>
            </w:pPr>
            <w:r>
              <w:rPr>
                <w:sz w:val="19"/>
              </w:rPr>
              <w:t>MER-richtlijn 2014/52/EU, art. 3 en 5</w:t>
            </w:r>
          </w:p>
        </w:tc>
        <w:tc>
          <w:tcPr>
            <w:tcW w:w="4703" w:type="dxa"/>
          </w:tcPr>
          <w:p w:rsidR="00EA5D97" w:rsidRDefault="005311C6" w14:paraId="043153BD" w14:textId="77777777">
            <w:pPr>
              <w:spacing w:before="40" w:after="40"/>
            </w:pPr>
            <w:r>
              <w:rPr>
                <w:sz w:val="19"/>
              </w:rPr>
              <w:t>Beoordeling gezondheidseffecten, actuele wetenschap</w:t>
            </w:r>
          </w:p>
        </w:tc>
      </w:tr>
      <w:tr w:rsidR="00EA5D97" w:rsidTr="0EBEC655" w14:paraId="304C208D" w14:textId="77777777">
        <w:tc>
          <w:tcPr>
            <w:tcW w:w="4703" w:type="dxa"/>
            <w:shd w:val="clear" w:color="auto" w:fill="F2F6FC"/>
          </w:tcPr>
          <w:p w:rsidR="00EA5D97" w:rsidRDefault="005311C6" w14:paraId="19B0DC8D" w14:textId="77777777">
            <w:pPr>
              <w:spacing w:before="40" w:after="40"/>
            </w:pPr>
            <w:r>
              <w:rPr>
                <w:sz w:val="19"/>
              </w:rPr>
              <w:t>HvJ-EU Waddenzee (C-127/02)</w:t>
            </w:r>
          </w:p>
        </w:tc>
        <w:tc>
          <w:tcPr>
            <w:tcW w:w="4703" w:type="dxa"/>
            <w:shd w:val="clear" w:color="auto" w:fill="F2F6FC"/>
          </w:tcPr>
          <w:p w:rsidR="00EA5D97" w:rsidRDefault="005311C6" w14:paraId="28BEB275" w14:textId="77777777">
            <w:pPr>
              <w:spacing w:before="40" w:after="40"/>
            </w:pPr>
            <w:r>
              <w:rPr>
                <w:sz w:val="19"/>
              </w:rPr>
              <w:t>Wetenschappelijke twijfel sluit "geen significant effect" uit</w:t>
            </w:r>
          </w:p>
        </w:tc>
      </w:tr>
      <w:tr w:rsidR="00EA5D97" w:rsidTr="0EBEC655" w14:paraId="3743E62E" w14:textId="77777777">
        <w:tc>
          <w:tcPr>
            <w:tcW w:w="4703" w:type="dxa"/>
          </w:tcPr>
          <w:p w:rsidR="00EA5D97" w:rsidRDefault="005311C6" w14:paraId="02B487A4" w14:textId="77777777">
            <w:pPr>
              <w:spacing w:before="40" w:after="40"/>
            </w:pPr>
            <w:r>
              <w:rPr>
                <w:b/>
                <w:sz w:val="19"/>
              </w:rPr>
              <w:t>HvJ-EU Bayer (C-499/18 P, 2021)</w:t>
            </w:r>
          </w:p>
        </w:tc>
        <w:tc>
          <w:tcPr>
            <w:tcW w:w="4703" w:type="dxa"/>
          </w:tcPr>
          <w:p w:rsidR="00EA5D97" w:rsidRDefault="0EBEC655" w14:paraId="29F48395" w14:textId="66678BDD">
            <w:pPr>
              <w:spacing w:before="40" w:after="40"/>
            </w:pPr>
            <w:r w:rsidRPr="0EBEC655">
              <w:rPr>
                <w:b/>
                <w:bCs/>
                <w:sz w:val="19"/>
                <w:szCs w:val="19"/>
              </w:rPr>
              <w:t xml:space="preserve">Voorzorgsbeginsel zonder volledig bewijs; </w:t>
            </w:r>
            <w:r w:rsidRPr="0EBEC655" w:rsidR="711F46FF">
              <w:rPr>
                <w:b/>
                <w:bCs/>
                <w:sz w:val="19"/>
                <w:szCs w:val="19"/>
              </w:rPr>
              <w:t>financiële</w:t>
            </w:r>
            <w:r w:rsidRPr="0EBEC655">
              <w:rPr>
                <w:b/>
                <w:bCs/>
                <w:sz w:val="19"/>
                <w:szCs w:val="19"/>
              </w:rPr>
              <w:t xml:space="preserve"> schade irrelevant</w:t>
            </w:r>
          </w:p>
        </w:tc>
      </w:tr>
      <w:tr w:rsidR="00EA5D97" w:rsidTr="0EBEC655" w14:paraId="4E529F56" w14:textId="77777777">
        <w:tc>
          <w:tcPr>
            <w:tcW w:w="4703" w:type="dxa"/>
            <w:shd w:val="clear" w:color="auto" w:fill="F2F6FC"/>
          </w:tcPr>
          <w:p w:rsidR="00EA5D97" w:rsidRDefault="005311C6" w14:paraId="5E89CB4F" w14:textId="77777777">
            <w:pPr>
              <w:spacing w:before="40" w:after="40"/>
            </w:pPr>
            <w:r>
              <w:rPr>
                <w:sz w:val="19"/>
              </w:rPr>
              <w:t>HvJ-EU Briels (C-521/12)</w:t>
            </w:r>
          </w:p>
        </w:tc>
        <w:tc>
          <w:tcPr>
            <w:tcW w:w="4703" w:type="dxa"/>
            <w:shd w:val="clear" w:color="auto" w:fill="F2F6FC"/>
          </w:tcPr>
          <w:p w:rsidR="00EA5D97" w:rsidRDefault="005311C6" w14:paraId="67ADF7D9" w14:textId="77777777">
            <w:pPr>
              <w:spacing w:before="40" w:after="40"/>
            </w:pPr>
            <w:r>
              <w:rPr>
                <w:sz w:val="19"/>
              </w:rPr>
              <w:t>Maatregelen moeten zeker en afdwingbaar zijn</w:t>
            </w:r>
          </w:p>
        </w:tc>
      </w:tr>
      <w:tr w:rsidR="00EA5D97" w:rsidTr="0EBEC655" w14:paraId="52BBD5ED" w14:textId="77777777">
        <w:tc>
          <w:tcPr>
            <w:tcW w:w="4703" w:type="dxa"/>
          </w:tcPr>
          <w:p w:rsidR="00EA5D97" w:rsidRDefault="005311C6" w14:paraId="25A2E69A" w14:textId="77777777">
            <w:pPr>
              <w:spacing w:before="40" w:after="40"/>
            </w:pPr>
            <w:r>
              <w:rPr>
                <w:b/>
                <w:sz w:val="19"/>
              </w:rPr>
              <w:t>EHRM Fadeyeva v. Rusland (2005)</w:t>
            </w:r>
          </w:p>
        </w:tc>
        <w:tc>
          <w:tcPr>
            <w:tcW w:w="4703" w:type="dxa"/>
          </w:tcPr>
          <w:p w:rsidR="00EA5D97" w:rsidRDefault="005311C6" w14:paraId="1775F522" w14:textId="77777777">
            <w:pPr>
              <w:spacing w:before="40" w:after="40"/>
            </w:pPr>
            <w:r>
              <w:rPr>
                <w:b/>
                <w:sz w:val="19"/>
              </w:rPr>
              <w:t>Art. 8 EVRM -- "fair balance" gezondheid vs. algemeen belang</w:t>
            </w:r>
          </w:p>
        </w:tc>
      </w:tr>
      <w:tr w:rsidR="00EA5D97" w:rsidTr="0EBEC655" w14:paraId="08491FB4" w14:textId="77777777">
        <w:tc>
          <w:tcPr>
            <w:tcW w:w="4703" w:type="dxa"/>
            <w:shd w:val="clear" w:color="auto" w:fill="F2F6FC"/>
          </w:tcPr>
          <w:p w:rsidR="00EA5D97" w:rsidRDefault="005311C6" w14:paraId="00A0ED7F" w14:textId="77777777">
            <w:pPr>
              <w:spacing w:before="40" w:after="40"/>
            </w:pPr>
            <w:r>
              <w:rPr>
                <w:b/>
                <w:sz w:val="19"/>
              </w:rPr>
              <w:t>Art. 7bis Belgische Grondwet</w:t>
            </w:r>
          </w:p>
        </w:tc>
        <w:tc>
          <w:tcPr>
            <w:tcW w:w="4703" w:type="dxa"/>
            <w:shd w:val="clear" w:color="auto" w:fill="F2F6FC"/>
          </w:tcPr>
          <w:p w:rsidR="00EA5D97" w:rsidRDefault="005311C6" w14:paraId="10EE0854" w14:textId="77777777">
            <w:pPr>
              <w:spacing w:before="40" w:after="40"/>
            </w:pPr>
            <w:r>
              <w:rPr>
                <w:b/>
                <w:sz w:val="19"/>
              </w:rPr>
              <w:t>Duurzame ontwikkeling -- intergenerationele solidariteit</w:t>
            </w:r>
          </w:p>
        </w:tc>
      </w:tr>
      <w:tr w:rsidR="00EA5D97" w:rsidTr="0EBEC655" w14:paraId="79127AEC" w14:textId="77777777">
        <w:tc>
          <w:tcPr>
            <w:tcW w:w="4703" w:type="dxa"/>
          </w:tcPr>
          <w:p w:rsidR="00EA5D97" w:rsidRDefault="005311C6" w14:paraId="64DA2CA8" w14:textId="77777777">
            <w:pPr>
              <w:spacing w:before="40" w:after="40"/>
            </w:pPr>
            <w:r>
              <w:rPr>
                <w:sz w:val="19"/>
              </w:rPr>
              <w:t>IARC Groep 2B (2002)</w:t>
            </w:r>
          </w:p>
        </w:tc>
        <w:tc>
          <w:tcPr>
            <w:tcW w:w="4703" w:type="dxa"/>
          </w:tcPr>
          <w:p w:rsidR="00EA5D97" w:rsidRDefault="005311C6" w14:paraId="5607B010" w14:textId="77777777">
            <w:pPr>
              <w:spacing w:before="40" w:after="40"/>
            </w:pPr>
            <w:r>
              <w:rPr>
                <w:sz w:val="19"/>
              </w:rPr>
              <w:t>Classificatie ELF-EMF als "mogelijk kankerverwekkend"</w:t>
            </w:r>
          </w:p>
        </w:tc>
      </w:tr>
      <w:tr w:rsidR="00EA5D97" w:rsidTr="0EBEC655" w14:paraId="0217E1F2" w14:textId="77777777">
        <w:tc>
          <w:tcPr>
            <w:tcW w:w="4703" w:type="dxa"/>
            <w:shd w:val="clear" w:color="auto" w:fill="F2F6FC"/>
          </w:tcPr>
          <w:p w:rsidR="00EA5D97" w:rsidRDefault="005311C6" w14:paraId="15B23AA0" w14:textId="77777777">
            <w:pPr>
              <w:spacing w:before="40" w:after="40"/>
            </w:pPr>
            <w:r>
              <w:rPr>
                <w:sz w:val="19"/>
              </w:rPr>
              <w:t>Hoge Gezondheidsraad 9432 (2020)</w:t>
            </w:r>
          </w:p>
        </w:tc>
        <w:tc>
          <w:tcPr>
            <w:tcW w:w="4703" w:type="dxa"/>
            <w:shd w:val="clear" w:color="auto" w:fill="F2F6FC"/>
          </w:tcPr>
          <w:p w:rsidR="00EA5D97" w:rsidRDefault="005311C6" w14:paraId="6A97492C" w14:textId="77777777">
            <w:pPr>
              <w:spacing w:before="40" w:after="40"/>
            </w:pPr>
            <w:r>
              <w:rPr>
                <w:sz w:val="19"/>
              </w:rPr>
              <w:t>Advies voorzorgsbeleid ELF-EMF</w:t>
            </w:r>
          </w:p>
        </w:tc>
      </w:tr>
      <w:tr w:rsidR="00EA5D97" w:rsidTr="0EBEC655" w14:paraId="2FF278AA" w14:textId="77777777">
        <w:tc>
          <w:tcPr>
            <w:tcW w:w="4703" w:type="dxa"/>
          </w:tcPr>
          <w:p w:rsidR="00EA5D97" w:rsidRDefault="005311C6" w14:paraId="52ABE6CF" w14:textId="77777777">
            <w:pPr>
              <w:spacing w:before="40" w:after="40"/>
            </w:pPr>
            <w:r>
              <w:rPr>
                <w:sz w:val="19"/>
              </w:rPr>
              <w:t>RvVb-A-2223-0977</w:t>
            </w:r>
          </w:p>
        </w:tc>
        <w:tc>
          <w:tcPr>
            <w:tcW w:w="4703" w:type="dxa"/>
          </w:tcPr>
          <w:p w:rsidR="00EA5D97" w:rsidRDefault="005311C6" w14:paraId="016E97BC" w14:textId="77777777">
            <w:pPr>
              <w:spacing w:before="40" w:after="40"/>
            </w:pPr>
            <w:r>
              <w:rPr>
                <w:sz w:val="19"/>
              </w:rPr>
              <w:t>Geen onomstotelijk bewijs nodig voor actie overheid</w:t>
            </w:r>
          </w:p>
        </w:tc>
      </w:tr>
      <w:tr w:rsidR="00EA5D97" w:rsidTr="0EBEC655" w14:paraId="68424381" w14:textId="77777777">
        <w:tc>
          <w:tcPr>
            <w:tcW w:w="4703" w:type="dxa"/>
            <w:shd w:val="clear" w:color="auto" w:fill="F2F6FC"/>
          </w:tcPr>
          <w:p w:rsidR="00EA5D97" w:rsidRDefault="005311C6" w14:paraId="2236462C" w14:textId="77777777">
            <w:pPr>
              <w:spacing w:before="40" w:after="40"/>
            </w:pPr>
            <w:r>
              <w:rPr>
                <w:sz w:val="19"/>
              </w:rPr>
              <w:t>SCHEER (2024)</w:t>
            </w:r>
          </w:p>
        </w:tc>
        <w:tc>
          <w:tcPr>
            <w:tcW w:w="4703" w:type="dxa"/>
            <w:shd w:val="clear" w:color="auto" w:fill="F2F6FC"/>
          </w:tcPr>
          <w:p w:rsidR="00EA5D97" w:rsidRDefault="005311C6" w14:paraId="1F899F1C" w14:textId="77777777">
            <w:pPr>
              <w:spacing w:before="40" w:after="40"/>
            </w:pPr>
            <w:r>
              <w:rPr>
                <w:sz w:val="19"/>
              </w:rPr>
              <w:t>Meest recente Europese expertadvies -- niet meegenomen</w:t>
            </w:r>
          </w:p>
        </w:tc>
      </w:tr>
      <w:tr w:rsidR="00EA5D97" w:rsidTr="0EBEC655" w14:paraId="6D9F920E" w14:textId="77777777">
        <w:tc>
          <w:tcPr>
            <w:tcW w:w="4703" w:type="dxa"/>
          </w:tcPr>
          <w:p w:rsidR="00EA5D97" w:rsidRDefault="005311C6" w14:paraId="04807016" w14:textId="77777777">
            <w:pPr>
              <w:spacing w:before="40" w:after="40"/>
            </w:pPr>
            <w:r>
              <w:rPr>
                <w:b/>
                <w:sz w:val="19"/>
              </w:rPr>
              <w:t>Europese Ombudsman 1898/2025/MIK</w:t>
            </w:r>
          </w:p>
        </w:tc>
        <w:tc>
          <w:tcPr>
            <w:tcW w:w="4703" w:type="dxa"/>
          </w:tcPr>
          <w:p w:rsidR="00EA5D97" w:rsidRDefault="005311C6" w14:paraId="01A13765" w14:textId="77777777">
            <w:pPr>
              <w:spacing w:before="40" w:after="40"/>
            </w:pPr>
            <w:r>
              <w:rPr>
                <w:b/>
                <w:sz w:val="19"/>
              </w:rPr>
              <w:t>Onpartijdigheid SCHEER formeel betwist</w:t>
            </w:r>
          </w:p>
        </w:tc>
      </w:tr>
      <w:tr w:rsidR="00EA5D97" w:rsidTr="0EBEC655" w14:paraId="6B305533" w14:textId="77777777">
        <w:tc>
          <w:tcPr>
            <w:tcW w:w="4703" w:type="dxa"/>
            <w:shd w:val="clear" w:color="auto" w:fill="F2F6FC"/>
          </w:tcPr>
          <w:p w:rsidR="00EA5D97" w:rsidRDefault="005311C6" w14:paraId="27CB1100" w14:textId="77777777">
            <w:pPr>
              <w:spacing w:before="40" w:after="40"/>
            </w:pPr>
            <w:r>
              <w:rPr>
                <w:b/>
                <w:sz w:val="19"/>
              </w:rPr>
              <w:t>Gerecht T-13/99 (Pfizer, 2002)</w:t>
            </w:r>
          </w:p>
        </w:tc>
        <w:tc>
          <w:tcPr>
            <w:tcW w:w="4703" w:type="dxa"/>
            <w:shd w:val="clear" w:color="auto" w:fill="F2F6FC"/>
          </w:tcPr>
          <w:p w:rsidR="00EA5D97" w:rsidRDefault="005311C6" w14:paraId="6912A7B5" w14:textId="77777777">
            <w:pPr>
              <w:spacing w:before="40" w:after="40"/>
            </w:pPr>
            <w:r>
              <w:rPr>
                <w:b/>
                <w:sz w:val="19"/>
              </w:rPr>
              <w:t>Voorzorgsbeginsel als algemeen beginsel — specifieke, objectieve, samenhangende aanwijzingen</w:t>
            </w:r>
          </w:p>
        </w:tc>
      </w:tr>
      <w:tr w:rsidR="00EA5D97" w:rsidTr="0EBEC655" w14:paraId="642944CD" w14:textId="77777777">
        <w:tc>
          <w:tcPr>
            <w:tcW w:w="4703" w:type="dxa"/>
          </w:tcPr>
          <w:p w:rsidR="00EA5D97" w:rsidRDefault="005311C6" w14:paraId="7523C288" w14:textId="77777777">
            <w:pPr>
              <w:spacing w:before="40" w:after="40"/>
            </w:pPr>
            <w:r>
              <w:rPr>
                <w:b/>
                <w:sz w:val="19"/>
              </w:rPr>
              <w:t>Art. 23, lid 3, 4° Belgische Grondwet</w:t>
            </w:r>
          </w:p>
        </w:tc>
        <w:tc>
          <w:tcPr>
            <w:tcW w:w="4703" w:type="dxa"/>
          </w:tcPr>
          <w:p w:rsidR="00EA5D97" w:rsidRDefault="005311C6" w14:paraId="485C667B" w14:textId="77777777">
            <w:pPr>
              <w:spacing w:before="40" w:after="40"/>
            </w:pPr>
            <w:r>
              <w:rPr>
                <w:b/>
                <w:sz w:val="19"/>
              </w:rPr>
              <w:t>Recht op bescherming gezond leefmilieu</w:t>
            </w:r>
          </w:p>
        </w:tc>
      </w:tr>
      <w:tr w:rsidR="00EA5D97" w:rsidTr="0EBEC655" w14:paraId="6BFE4144" w14:textId="77777777">
        <w:tc>
          <w:tcPr>
            <w:tcW w:w="4703" w:type="dxa"/>
            <w:shd w:val="clear" w:color="auto" w:fill="F2F6FC"/>
          </w:tcPr>
          <w:p w:rsidR="00EA5D97" w:rsidRDefault="005311C6" w14:paraId="4EAD221C" w14:textId="77777777">
            <w:pPr>
              <w:spacing w:before="40" w:after="40"/>
            </w:pPr>
            <w:r>
              <w:rPr>
                <w:b/>
                <w:sz w:val="19"/>
              </w:rPr>
              <w:t>ANSES Frankrijk (2019)</w:t>
            </w:r>
          </w:p>
        </w:tc>
        <w:tc>
          <w:tcPr>
            <w:tcW w:w="4703" w:type="dxa"/>
            <w:shd w:val="clear" w:color="auto" w:fill="F2F6FC"/>
          </w:tcPr>
          <w:p w:rsidR="00EA5D97" w:rsidRDefault="005311C6" w14:paraId="0D279C96" w14:textId="77777777">
            <w:pPr>
              <w:spacing w:before="40" w:after="40"/>
            </w:pPr>
            <w:r>
              <w:rPr>
                <w:b/>
                <w:sz w:val="19"/>
              </w:rPr>
              <w:t>Aanbeveling geen nieuwe scholen nabij HS-lijnen; ~40.000 kinderen blootgesteld</w:t>
            </w:r>
          </w:p>
        </w:tc>
      </w:tr>
      <w:tr w:rsidR="00EA5D97" w:rsidTr="0EBEC655" w14:paraId="4AB32657" w14:textId="77777777">
        <w:tc>
          <w:tcPr>
            <w:tcW w:w="4703" w:type="dxa"/>
          </w:tcPr>
          <w:p w:rsidR="00EA5D97" w:rsidRDefault="005311C6" w14:paraId="44E76ADA" w14:textId="77777777">
            <w:pPr>
              <w:spacing w:before="40" w:after="40"/>
            </w:pPr>
            <w:r>
              <w:rPr>
                <w:b/>
                <w:sz w:val="19"/>
              </w:rPr>
              <w:t>Overeenkomst VR 20 sept 2023</w:t>
            </w:r>
          </w:p>
        </w:tc>
        <w:tc>
          <w:tcPr>
            <w:tcW w:w="4703" w:type="dxa"/>
          </w:tcPr>
          <w:p w:rsidR="00EA5D97" w:rsidRDefault="005311C6" w14:paraId="226652A9" w14:textId="77777777">
            <w:pPr>
              <w:spacing w:before="40" w:after="40"/>
            </w:pPr>
            <w:r>
              <w:rPr>
                <w:b/>
                <w:sz w:val="19"/>
              </w:rPr>
              <w:t>Minimaliseren chronische blootstelling — vertrouwensbeginsel geschonden</w:t>
            </w:r>
          </w:p>
        </w:tc>
      </w:tr>
      <w:tr w:rsidR="00EA5D97" w:rsidTr="0EBEC655" w14:paraId="08A81CAB" w14:textId="77777777">
        <w:tc>
          <w:tcPr>
            <w:tcW w:w="4703" w:type="dxa"/>
            <w:shd w:val="clear" w:color="auto" w:fill="F2F6FC"/>
          </w:tcPr>
          <w:p w:rsidR="00EA5D97" w:rsidRDefault="005311C6" w14:paraId="60F16C44" w14:textId="77777777">
            <w:pPr>
              <w:spacing w:before="40" w:after="40"/>
            </w:pPr>
            <w:r>
              <w:rPr>
                <w:b/>
                <w:sz w:val="19"/>
              </w:rPr>
              <w:t>EMC-richtlijn 2014/30/EU / EN 61000-6-1</w:t>
            </w:r>
          </w:p>
        </w:tc>
        <w:tc>
          <w:tcPr>
            <w:tcW w:w="4703" w:type="dxa"/>
            <w:shd w:val="clear" w:color="auto" w:fill="F2F6FC"/>
          </w:tcPr>
          <w:p w:rsidR="00EA5D97" w:rsidRDefault="005311C6" w14:paraId="18461F62" w14:textId="77777777">
            <w:pPr>
              <w:spacing w:before="40" w:after="40"/>
            </w:pPr>
            <w:r>
              <w:rPr>
                <w:b/>
                <w:sz w:val="19"/>
              </w:rPr>
              <w:t>Immuniteitsgrens 3,77 uT overschreden — apparatuurstoring nabij woningen en bedrijven</w:t>
            </w:r>
          </w:p>
        </w:tc>
      </w:tr>
      <w:tr w:rsidR="00EA5D97" w:rsidTr="0EBEC655" w14:paraId="3410F593" w14:textId="77777777">
        <w:tc>
          <w:tcPr>
            <w:tcW w:w="4703" w:type="dxa"/>
          </w:tcPr>
          <w:p w:rsidR="00EA5D97" w:rsidRDefault="005311C6" w14:paraId="6FE44ACF" w14:textId="77777777">
            <w:pPr>
              <w:spacing w:before="40" w:after="40"/>
            </w:pPr>
            <w:r>
              <w:rPr>
                <w:b/>
                <w:sz w:val="19"/>
              </w:rPr>
              <w:t>Vlaams Binnenmilieubesluit</w:t>
            </w:r>
          </w:p>
        </w:tc>
        <w:tc>
          <w:tcPr>
            <w:tcW w:w="4703" w:type="dxa"/>
          </w:tcPr>
          <w:p w:rsidR="00EA5D97" w:rsidRDefault="005311C6" w14:paraId="6A852899" w14:textId="77777777">
            <w:pPr>
              <w:spacing w:before="40" w:after="40"/>
            </w:pPr>
            <w:r>
              <w:rPr>
                <w:b/>
                <w:sz w:val="19"/>
              </w:rPr>
              <w:t>Actieniveau 20 uT binnenshuis — regelgevende inconsistentie met buitenbescherming</w:t>
            </w:r>
          </w:p>
        </w:tc>
      </w:tr>
      <w:tr w:rsidR="00EA5D97" w:rsidTr="0EBEC655" w14:paraId="5728BF8A" w14:textId="77777777">
        <w:tc>
          <w:tcPr>
            <w:tcW w:w="4703" w:type="dxa"/>
            <w:shd w:val="clear" w:color="auto" w:fill="F2F6FC"/>
          </w:tcPr>
          <w:p w:rsidR="00EA5D97" w:rsidRDefault="005311C6" w14:paraId="45DCE7B7" w14:textId="77777777">
            <w:pPr>
              <w:spacing w:before="40" w:after="40"/>
            </w:pPr>
            <w:r>
              <w:rPr>
                <w:b/>
                <w:sz w:val="19"/>
              </w:rPr>
              <w:t>Richtlijn 2013/35/EU werknemersbescherming</w:t>
            </w:r>
          </w:p>
        </w:tc>
        <w:tc>
          <w:tcPr>
            <w:tcW w:w="4703" w:type="dxa"/>
            <w:shd w:val="clear" w:color="auto" w:fill="F2F6FC"/>
          </w:tcPr>
          <w:p w:rsidR="00EA5D97" w:rsidRDefault="005311C6" w14:paraId="6C0E9ABF" w14:textId="77777777">
            <w:pPr>
              <w:spacing w:before="40" w:after="40"/>
            </w:pPr>
            <w:r>
              <w:rPr>
                <w:b/>
                <w:sz w:val="19"/>
              </w:rPr>
              <w:t>Werknemers beschermd tegen EMF, permanent blootgestelde burgers niet — gelijkheidsbeginsel</w:t>
            </w:r>
          </w:p>
        </w:tc>
      </w:tr>
    </w:tbl>
    <w:p w:rsidR="00EA5D97" w:rsidRDefault="00EA5D97" w14:paraId="4B99056E" w14:textId="77777777"/>
    <w:p w:rsidR="00EA5D97" w:rsidRDefault="005311C6" w14:paraId="0983D7A6" w14:textId="77777777">
      <w:pPr>
        <w:pStyle w:val="Heading3"/>
      </w:pPr>
      <w:r>
        <w:t>Bronnen</w:t>
      </w:r>
    </w:p>
    <w:p w:rsidR="00EA5D97" w:rsidRDefault="005311C6" w14:paraId="1D211298" w14:textId="77777777">
      <w:r>
        <w:rPr>
          <w:b/>
        </w:rPr>
        <w:t>MER en dossierstukken:</w:t>
      </w:r>
    </w:p>
    <w:p w:rsidR="00EA5D97" w:rsidRDefault="005311C6" w14:paraId="4C569A55" w14:textId="77777777">
      <w:pPr>
        <w:pStyle w:val="ListBullet"/>
        <w:spacing w:after="60"/>
        <w:ind w:left="720"/>
      </w:pPr>
      <w:r>
        <w:t>Project-MER Ventilus v4, Hoofdstuk 13 Gezondheid (Antea Group, 28 januari 2026)</w:t>
      </w:r>
    </w:p>
    <w:p w:rsidR="00EA5D97" w:rsidRDefault="005311C6" w14:paraId="5974F633" w14:textId="77777777">
      <w:pPr>
        <w:pStyle w:val="ListBullet"/>
        <w:spacing w:after="60"/>
        <w:ind w:left="720"/>
      </w:pPr>
      <w:r>
        <w:t>Project-MER Ventilus v4, Hoofdstuk 10 Biodiversiteit (EMF op fauna)</w:t>
      </w:r>
    </w:p>
    <w:p w:rsidR="00EA5D97" w:rsidRDefault="005311C6" w14:paraId="601B8900" w14:textId="77777777">
      <w:pPr>
        <w:pStyle w:val="ListBullet"/>
        <w:spacing w:after="60"/>
        <w:ind w:left="720"/>
      </w:pPr>
      <w:r>
        <w:t>Project-MER Ventilus v4, Hoofdstuk 18 Leemte in de kennis</w:t>
      </w:r>
    </w:p>
    <w:p w:rsidR="00EA5D97" w:rsidRDefault="005311C6" w14:paraId="12527EF6" w14:textId="77777777">
      <w:pPr>
        <w:pStyle w:val="ListBullet"/>
        <w:spacing w:after="60"/>
        <w:ind w:left="720"/>
      </w:pPr>
      <w:r>
        <w:t>Project-MER Ventilus v4, Hoofdstuk 19 Integratie</w:t>
      </w:r>
    </w:p>
    <w:p w:rsidR="00EA5D97" w:rsidRDefault="005311C6" w14:paraId="32C03DA2" w14:textId="77777777">
      <w:pPr>
        <w:pStyle w:val="ListBullet"/>
        <w:spacing w:after="60"/>
        <w:ind w:left="720"/>
      </w:pPr>
      <w:r>
        <w:t>Brief EMF Departement Omgeving, kenmerk CONELF-56 (21 augustus 2025)</w:t>
      </w:r>
    </w:p>
    <w:p w:rsidR="00EA5D97" w:rsidRDefault="005311C6" w14:paraId="1FD6E3FE" w14:textId="77777777">
      <w:pPr>
        <w:pStyle w:val="ListBullet"/>
        <w:spacing w:after="60"/>
        <w:ind w:left="720"/>
      </w:pPr>
      <w:r>
        <w:t>B26 Nota PIV4</w:t>
      </w:r>
    </w:p>
    <w:p w:rsidR="00EA5D97" w:rsidRDefault="005311C6" w14:paraId="75A0ACB2" w14:textId="77777777">
      <w:r>
        <w:rPr>
          <w:b/>
        </w:rPr>
        <w:t>Adviezen:</w:t>
      </w:r>
    </w:p>
    <w:p w:rsidR="00EA5D97" w:rsidRDefault="005311C6" w14:paraId="773BBA1E" w14:textId="77777777">
      <w:pPr>
        <w:pStyle w:val="ListBullet"/>
        <w:spacing w:after="60"/>
        <w:ind w:left="720"/>
      </w:pPr>
      <w:r>
        <w:t>Ongunstige adviezen gemeenten Ardooie, Deerlijk, Harelbeke, Jabbeke, Lendelede, Oostkamp en Zedelgem</w:t>
      </w:r>
    </w:p>
    <w:p w:rsidR="00EA5D97" w:rsidRDefault="005311C6" w14:paraId="0BC49851" w14:textId="77777777">
      <w:pPr>
        <w:pStyle w:val="ListBullet"/>
        <w:spacing w:after="60"/>
        <w:ind w:left="720"/>
      </w:pPr>
      <w:r>
        <w:t>Hoge Gezondheidsraad, Advies 9432 (2020)</w:t>
      </w:r>
    </w:p>
    <w:p w:rsidR="00EA5D97" w:rsidRDefault="0EBEC655" w14:paraId="6F0392F3" w14:textId="77777777">
      <w:pPr>
        <w:pStyle w:val="ListBullet"/>
        <w:spacing w:after="60"/>
        <w:ind w:left="720"/>
      </w:pPr>
      <w:r>
        <w:t>SCHEER, Opinie SCHEER/O/063 (november 2023)</w:t>
      </w:r>
    </w:p>
    <w:p w:rsidR="00EA5D97" w:rsidRDefault="005311C6" w14:paraId="44F4FC61" w14:textId="77777777">
      <w:r>
        <w:rPr>
          <w:b/>
        </w:rPr>
        <w:t>Jurisprudentie:</w:t>
      </w:r>
    </w:p>
    <w:p w:rsidR="00EA5D97" w:rsidRDefault="005311C6" w14:paraId="79BCDF11" w14:textId="77777777">
      <w:pPr>
        <w:pStyle w:val="ListBullet"/>
        <w:spacing w:after="60"/>
        <w:ind w:left="720"/>
      </w:pPr>
      <w:r>
        <w:t>HvJ-EU, zaak C-127/02 (Waddenzee), 7 september 2004</w:t>
      </w:r>
    </w:p>
    <w:p w:rsidR="00EA5D97" w:rsidRDefault="005311C6" w14:paraId="5D9E7C93" w14:textId="77777777">
      <w:pPr>
        <w:pStyle w:val="ListBullet"/>
        <w:spacing w:after="60"/>
        <w:ind w:left="720"/>
      </w:pPr>
      <w:r>
        <w:t>HvJ-EU, zaak C-499/18 P (Bayer/Commissie), 6 mei 2021</w:t>
      </w:r>
    </w:p>
    <w:p w:rsidR="00EA5D97" w:rsidRDefault="005311C6" w14:paraId="67961DCB" w14:textId="77777777">
      <w:pPr>
        <w:pStyle w:val="ListBullet"/>
        <w:spacing w:after="60"/>
        <w:ind w:left="720"/>
      </w:pPr>
      <w:r>
        <w:t>EHRM, Fadeyeva v. Rusland (Application no. 55723/00), 9 juni 2005</w:t>
      </w:r>
    </w:p>
    <w:p w:rsidR="00EA5D97" w:rsidRDefault="005311C6" w14:paraId="16C1534E" w14:textId="77777777">
      <w:pPr>
        <w:pStyle w:val="ListBullet"/>
        <w:spacing w:after="60"/>
        <w:ind w:left="720"/>
      </w:pPr>
      <w:r>
        <w:t>RvVb-A-2223-0977 (Oostkamp)</w:t>
      </w:r>
    </w:p>
    <w:p w:rsidR="00EA5D97" w:rsidRDefault="005311C6" w14:paraId="5049FAB8" w14:textId="77777777">
      <w:pPr>
        <w:pStyle w:val="ListBullet"/>
        <w:spacing w:after="60"/>
        <w:ind w:left="720"/>
      </w:pPr>
      <w:r>
        <w:t>Europese Ombudsman, zaak 1898/2025/MIK (onderzoek SCHEER)</w:t>
      </w:r>
    </w:p>
    <w:p w:rsidR="00EA5D97" w:rsidRDefault="005311C6" w14:paraId="1BA99224" w14:textId="77777777">
      <w:r>
        <w:rPr>
          <w:b/>
        </w:rPr>
        <w:t>Regelgeving:</w:t>
      </w:r>
    </w:p>
    <w:p w:rsidR="00EA5D97" w:rsidRDefault="005311C6" w14:paraId="7644DF7C" w14:textId="77777777">
      <w:pPr>
        <w:pStyle w:val="ListBullet"/>
        <w:spacing w:after="60"/>
        <w:ind w:left="720"/>
      </w:pPr>
      <w:r>
        <w:t>EMC-richtlijn 2014/30/EU (Elektromagnetische Compatibiliteit)</w:t>
      </w:r>
    </w:p>
    <w:p w:rsidR="00EA5D97" w:rsidRDefault="005311C6" w14:paraId="6EB1FA1A" w14:textId="77777777">
      <w:pPr>
        <w:pStyle w:val="ListBullet"/>
        <w:spacing w:after="60"/>
        <w:ind w:left="720"/>
      </w:pPr>
      <w:r>
        <w:t>EN 61000-6-1 (Immuniteit residentiële, commerciële en lichtindustriële omgevingen)</w:t>
      </w:r>
    </w:p>
    <w:p w:rsidR="00EA5D97" w:rsidRDefault="005311C6" w14:paraId="14BDD159" w14:textId="77777777">
      <w:pPr>
        <w:pStyle w:val="ListBullet"/>
        <w:spacing w:after="60"/>
        <w:ind w:left="720"/>
      </w:pPr>
      <w:r>
        <w:t>Richtlijn 2013/35/EU (Werknemersbescherming tegen EMF)</w:t>
      </w:r>
    </w:p>
    <w:p w:rsidR="00EA5D97" w:rsidRDefault="005311C6" w14:paraId="43F70380" w14:textId="77777777">
      <w:pPr>
        <w:pStyle w:val="ListBullet"/>
        <w:spacing w:after="60"/>
        <w:ind w:left="720"/>
      </w:pPr>
      <w:r>
        <w:t>Vlaams Binnenmilieubesluit (actieniveau 20 uT)</w:t>
      </w:r>
    </w:p>
    <w:p w:rsidR="00EA5D97" w:rsidRDefault="005311C6" w14:paraId="4A89D5D4" w14:textId="77777777">
      <w:r>
        <w:rPr>
          <w:b/>
        </w:rPr>
        <w:t>Wetenschappelijke publicaties (secties 6, 9 en 13):</w:t>
      </w:r>
    </w:p>
    <w:p w:rsidR="00EA5D97" w:rsidRDefault="005311C6" w14:paraId="023A2678" w14:textId="77777777">
      <w:pPr>
        <w:pStyle w:val="ListBullet"/>
        <w:spacing w:after="60"/>
        <w:ind w:left="720"/>
      </w:pPr>
      <w:r>
        <w:t>Seomun G et al. (2021) PLoS ONE 16(5):e0251628. DOI: 10.1371/journal.pone.0251628</w:t>
      </w:r>
    </w:p>
    <w:p w:rsidR="00EA5D97" w:rsidRDefault="005311C6" w14:paraId="1C4773AC" w14:textId="77777777">
      <w:pPr>
        <w:pStyle w:val="ListBullet"/>
        <w:spacing w:after="60"/>
        <w:ind w:left="720"/>
      </w:pPr>
      <w:r>
        <w:t>Brabant C et al. (2023) Reviews on Environmental Health 39(2):113-127. DOI: 10.1515/reveh-2021-0112</w:t>
      </w:r>
    </w:p>
    <w:p w:rsidR="00EA5D97" w:rsidRDefault="005311C6" w14:paraId="1866D3F0" w14:textId="77777777">
      <w:pPr>
        <w:pStyle w:val="ListBullet"/>
        <w:spacing w:after="60"/>
        <w:ind w:left="720"/>
      </w:pPr>
      <w:r>
        <w:t>Malagoli C et al. (2023) Environmental Research 232:116320. DOI: 10.1016/j.envres.2023.116320</w:t>
      </w:r>
    </w:p>
    <w:p w:rsidR="00EA5D97" w:rsidRDefault="005311C6" w14:paraId="0FDFD1B3" w14:textId="77777777">
      <w:pPr>
        <w:pStyle w:val="ListBullet"/>
        <w:spacing w:after="60"/>
        <w:ind w:left="720"/>
      </w:pPr>
      <w:r>
        <w:t>Nyberg R, McCredden JE, Hardell L (2024) Reviews on Environmental Health 40(1):97-114. DOI: 10.1515/reveh-2023-0046</w:t>
      </w:r>
    </w:p>
    <w:p w:rsidR="00EA5D97" w:rsidRDefault="005311C6" w14:paraId="18F689EC" w14:textId="77777777">
      <w:pPr>
        <w:pStyle w:val="ListBullet"/>
        <w:spacing w:after="60"/>
        <w:ind w:left="720"/>
      </w:pPr>
      <w:r>
        <w:t>Brabant C et al. (2025) Progress in Biophysics and Molecular Biology 195:39-51. DOI: 10.1016/j.pbiomolbio.2024.12.005</w:t>
      </w:r>
    </w:p>
    <w:p w:rsidR="00EA5D97" w:rsidRDefault="005311C6" w14:paraId="762F858D" w14:textId="77777777">
      <w:pPr>
        <w:pStyle w:val="ListBullet"/>
        <w:spacing w:after="60"/>
        <w:ind w:left="720"/>
      </w:pPr>
      <w:r>
        <w:t>Mancini J et al. (2025) Environmental Research 268:121638. DOI: 10.1016/j.envres.2025.121638</w:t>
      </w:r>
    </w:p>
    <w:p w:rsidR="00EA5D97" w:rsidRDefault="005311C6" w14:paraId="6C2BB1F2" w14:textId="77777777">
      <w:pPr>
        <w:pStyle w:val="ListBullet"/>
        <w:spacing w:after="60"/>
        <w:ind w:left="720"/>
      </w:pPr>
      <w:r>
        <w:t>Correa-Correa V et al. (2025) Environmental Research 271:122858. DOI: 10.1016/j.envres.2025.122858</w:t>
      </w:r>
    </w:p>
    <w:p w:rsidR="00EA5D97" w:rsidRDefault="005311C6" w14:paraId="7710D57D" w14:textId="77777777">
      <w:pPr>
        <w:pStyle w:val="ListBullet"/>
        <w:spacing w:after="60"/>
        <w:ind w:left="720"/>
      </w:pPr>
      <w:r>
        <w:t>Panagopoulos DJ et al. (2025) Frontiers in Public Health 13:1585441. DOI: 10.3389/fpubh.2025.1585441</w:t>
      </w:r>
    </w:p>
    <w:p w:rsidR="00EA5D97" w:rsidRDefault="005311C6" w14:paraId="5C87620D" w14:textId="77777777">
      <w:pPr>
        <w:pStyle w:val="ListBullet"/>
        <w:spacing w:after="60"/>
        <w:ind w:left="720"/>
      </w:pPr>
      <w:r>
        <w:t>Cohen BS et al. (1998) Health Physics 74(5):554-560. DOI: 10.1097/00004032-199805000-00002</w:t>
      </w:r>
    </w:p>
    <w:p w:rsidR="00EA5D97" w:rsidRDefault="005311C6" w14:paraId="007732BC" w14:textId="77777777">
      <w:pPr>
        <w:pStyle w:val="ListBullet"/>
        <w:spacing w:after="60"/>
        <w:ind w:left="720"/>
      </w:pPr>
      <w:r>
        <w:t>Matthews JC (2024) Journal of Physics: Conference Series 2702:012011. DOI: 10.1088/1742-6596/2702/1/012011</w:t>
      </w:r>
    </w:p>
    <w:p w:rsidR="00EA5D97" w:rsidRDefault="005311C6" w14:paraId="753CA4AB" w14:textId="77777777">
      <w:pPr>
        <w:pStyle w:val="ListBullet"/>
        <w:spacing w:after="60"/>
        <w:ind w:left="720"/>
      </w:pPr>
      <w:r>
        <w:t>De Vito L et al. (2024) Sensors 24(2):587. DOI: 10.3390/s24020587</w:t>
      </w:r>
    </w:p>
    <w:p w:rsidR="00EA5D97" w:rsidRDefault="005311C6" w14:paraId="399E8863" w14:textId="77777777">
      <w:pPr>
        <w:pStyle w:val="ListBullet"/>
        <w:spacing w:after="60"/>
        <w:ind w:left="720"/>
      </w:pPr>
      <w:r>
        <w:t>Zobaa AF et al. (2025) Scientific Reports 15:26521. DOI: 10.1038/s41598-025-26521-z</w:t>
      </w:r>
    </w:p>
    <w:p w:rsidR="00EA5D97" w:rsidRDefault="00EA5D97" w14:paraId="1299C43A" w14:textId="77777777">
      <w:pPr>
        <w:pBdr>
          <w:bottom w:val="single" w:color="CCCCCC" w:sz="6" w:space="1"/>
        </w:pBdr>
        <w:spacing w:before="240" w:after="240"/>
      </w:pPr>
    </w:p>
    <w:p w:rsidR="00EA5D97" w:rsidRDefault="005311C6" w14:paraId="3DDF96CE" w14:textId="77777777">
      <w:r>
        <w:rPr>
          <w:i/>
        </w:rPr>
        <w:t>Dit thematisch bezwaarschrift is een verdieping van het generiek bezwaarschrift en dient in samenhang daarmee te worden gelezen. Beide bezwaarschriften zijn voorbereid op basis van analyse van het project-MER Ventilus v4, 26 adviezen, de Brief EMF en bijbehorende dossierstukken.</w:t>
      </w:r>
    </w:p>
    <w:p w:rsidR="00EA5D97" w:rsidRDefault="00EA5D97" w14:paraId="4DDBEF00" w14:textId="77777777">
      <w:pPr>
        <w:pBdr>
          <w:bottom w:val="single" w:color="CCCCCC" w:sz="6" w:space="1"/>
        </w:pBdr>
        <w:spacing w:before="240" w:after="240"/>
      </w:pPr>
    </w:p>
    <w:p w:rsidR="00EA5D97" w:rsidRDefault="005311C6" w14:paraId="073955CF" w14:textId="77777777">
      <w:pPr>
        <w:pStyle w:val="Heading2"/>
      </w:pPr>
      <w:r>
        <w:t>BRONNENLIJST</w:t>
      </w:r>
    </w:p>
    <w:p w:rsidR="00EA5D97" w:rsidRDefault="005311C6" w14:paraId="4C7DC976" w14:textId="77777777">
      <w:pPr>
        <w:pStyle w:val="Heading3"/>
      </w:pPr>
      <w:r>
        <w:t>MER-hoofdstukken</w:t>
      </w:r>
    </w:p>
    <w:tbl>
      <w:tblPr>
        <w:tblStyle w:val="TableGrid"/>
        <w:tblW w:w="0" w:type="auto"/>
        <w:tblLook w:val="04A0" w:firstRow="1" w:lastRow="0" w:firstColumn="1" w:lastColumn="0" w:noHBand="0" w:noVBand="1"/>
      </w:tblPr>
      <w:tblGrid>
        <w:gridCol w:w="2558"/>
        <w:gridCol w:w="4499"/>
        <w:gridCol w:w="2565"/>
      </w:tblGrid>
      <w:tr w:rsidR="00EA5D97" w14:paraId="2666CE16" w14:textId="77777777">
        <w:tc>
          <w:tcPr>
            <w:tcW w:w="3135" w:type="dxa"/>
            <w:shd w:val="clear" w:color="auto" w:fill="244061" w:themeFill="accent1" w:themeFillShade="80"/>
          </w:tcPr>
          <w:p w:rsidR="00EA5D97" w:rsidRDefault="005311C6" w14:paraId="3D11D8DF" w14:textId="77777777">
            <w:pPr>
              <w:spacing w:before="40" w:after="40"/>
            </w:pPr>
            <w:r>
              <w:rPr>
                <w:b/>
                <w:color w:val="FFFFFF"/>
                <w:sz w:val="19"/>
              </w:rPr>
              <w:t>Verkorte referentie in tekst</w:t>
            </w:r>
          </w:p>
        </w:tc>
        <w:tc>
          <w:tcPr>
            <w:tcW w:w="3135" w:type="dxa"/>
            <w:shd w:val="clear" w:color="auto" w:fill="244061" w:themeFill="accent1" w:themeFillShade="80"/>
          </w:tcPr>
          <w:p w:rsidR="00EA5D97" w:rsidRDefault="005311C6" w14:paraId="294E755D" w14:textId="77777777">
            <w:pPr>
              <w:spacing w:before="40" w:after="40"/>
            </w:pPr>
            <w:r>
              <w:rPr>
                <w:b/>
                <w:color w:val="FFFFFF"/>
                <w:sz w:val="19"/>
              </w:rPr>
              <w:t>PDF-bestandsnaam</w:t>
            </w:r>
          </w:p>
        </w:tc>
        <w:tc>
          <w:tcPr>
            <w:tcW w:w="3135" w:type="dxa"/>
            <w:shd w:val="clear" w:color="auto" w:fill="244061" w:themeFill="accent1" w:themeFillShade="80"/>
          </w:tcPr>
          <w:p w:rsidR="00EA5D97" w:rsidRDefault="005311C6" w14:paraId="34EA3010" w14:textId="77777777">
            <w:pPr>
              <w:spacing w:before="40" w:after="40"/>
            </w:pPr>
            <w:r>
              <w:rPr>
                <w:b/>
                <w:color w:val="FFFFFF"/>
                <w:sz w:val="19"/>
              </w:rPr>
              <w:t>Relatief pad</w:t>
            </w:r>
          </w:p>
        </w:tc>
      </w:tr>
      <w:tr w:rsidR="00EA5D97" w14:paraId="25682199" w14:textId="77777777">
        <w:tc>
          <w:tcPr>
            <w:tcW w:w="3135" w:type="dxa"/>
            <w:shd w:val="clear" w:color="auto" w:fill="F2F6FC"/>
          </w:tcPr>
          <w:p w:rsidR="00EA5D97" w:rsidRDefault="005311C6" w14:paraId="652A3F2B" w14:textId="77777777">
            <w:pPr>
              <w:spacing w:before="40" w:after="40"/>
            </w:pPr>
            <w:r>
              <w:rPr>
                <w:sz w:val="19"/>
              </w:rPr>
              <w:t>Hfst 10 Biodiversiteit</w:t>
            </w:r>
          </w:p>
        </w:tc>
        <w:tc>
          <w:tcPr>
            <w:tcW w:w="3135" w:type="dxa"/>
            <w:shd w:val="clear" w:color="auto" w:fill="F2F6FC"/>
          </w:tcPr>
          <w:p w:rsidR="00EA5D97" w:rsidRDefault="005311C6" w14:paraId="27CDE251" w14:textId="77777777">
            <w:pPr>
              <w:spacing w:before="40" w:after="40"/>
            </w:pPr>
            <w:r>
              <w:rPr>
                <w:rFonts w:ascii="Consolas" w:hAnsi="Consolas"/>
                <w:sz w:val="19"/>
                <w:shd w:val="clear" w:color="auto" w:fill="F0F0F0"/>
              </w:rPr>
              <w:t>Ventilus_ProjectMER_Hfst10_Biodiversiteit v4.pdf</w:t>
            </w:r>
          </w:p>
        </w:tc>
        <w:tc>
          <w:tcPr>
            <w:tcW w:w="3135" w:type="dxa"/>
            <w:shd w:val="clear" w:color="auto" w:fill="F2F6FC"/>
          </w:tcPr>
          <w:p w:rsidR="00EA5D97" w:rsidRDefault="005311C6" w14:paraId="1CC77D93" w14:textId="77777777">
            <w:pPr>
              <w:spacing w:before="40" w:after="40"/>
            </w:pPr>
            <w:r>
              <w:rPr>
                <w:rFonts w:ascii="Consolas" w:hAnsi="Consolas"/>
                <w:sz w:val="19"/>
                <w:shd w:val="clear" w:color="auto" w:fill="F0F0F0"/>
              </w:rPr>
              <w:t>2025025781 PIV4\MER\</w:t>
            </w:r>
          </w:p>
        </w:tc>
      </w:tr>
      <w:tr w:rsidR="00EA5D97" w14:paraId="5A523966" w14:textId="77777777">
        <w:tc>
          <w:tcPr>
            <w:tcW w:w="3135" w:type="dxa"/>
          </w:tcPr>
          <w:p w:rsidR="00EA5D97" w:rsidRDefault="005311C6" w14:paraId="080182F1" w14:textId="77777777">
            <w:pPr>
              <w:spacing w:before="40" w:after="40"/>
            </w:pPr>
            <w:r>
              <w:rPr>
                <w:sz w:val="19"/>
              </w:rPr>
              <w:t>Hfst 13 Gezondheid</w:t>
            </w:r>
          </w:p>
        </w:tc>
        <w:tc>
          <w:tcPr>
            <w:tcW w:w="3135" w:type="dxa"/>
          </w:tcPr>
          <w:p w:rsidR="00EA5D97" w:rsidRDefault="005311C6" w14:paraId="6C3E3707" w14:textId="77777777">
            <w:pPr>
              <w:spacing w:before="40" w:after="40"/>
            </w:pPr>
            <w:r>
              <w:rPr>
                <w:rFonts w:ascii="Consolas" w:hAnsi="Consolas"/>
                <w:sz w:val="19"/>
                <w:shd w:val="clear" w:color="auto" w:fill="F0F0F0"/>
              </w:rPr>
              <w:t>Ventilus_ProjectMER_Hfst13_Gezondheid v4.pdf</w:t>
            </w:r>
          </w:p>
        </w:tc>
        <w:tc>
          <w:tcPr>
            <w:tcW w:w="3135" w:type="dxa"/>
          </w:tcPr>
          <w:p w:rsidR="00EA5D97" w:rsidRDefault="005311C6" w14:paraId="292C1B5C" w14:textId="77777777">
            <w:pPr>
              <w:spacing w:before="40" w:after="40"/>
            </w:pPr>
            <w:r>
              <w:rPr>
                <w:rFonts w:ascii="Consolas" w:hAnsi="Consolas"/>
                <w:sz w:val="19"/>
                <w:shd w:val="clear" w:color="auto" w:fill="F0F0F0"/>
              </w:rPr>
              <w:t>2025025781 PIV4\MER\</w:t>
            </w:r>
          </w:p>
        </w:tc>
      </w:tr>
    </w:tbl>
    <w:p w:rsidR="00EA5D97" w:rsidRDefault="00EA5D97" w14:paraId="3461D779" w14:textId="77777777"/>
    <w:p w:rsidR="00EA5D97" w:rsidRDefault="005311C6" w14:paraId="626C2FFE" w14:textId="77777777">
      <w:pPr>
        <w:pStyle w:val="Heading3"/>
      </w:pPr>
      <w:r>
        <w:t>Dossierstukken</w:t>
      </w:r>
    </w:p>
    <w:tbl>
      <w:tblPr>
        <w:tblStyle w:val="TableGrid"/>
        <w:tblW w:w="0" w:type="auto"/>
        <w:tblLook w:val="04A0" w:firstRow="1" w:lastRow="0" w:firstColumn="1" w:lastColumn="0" w:noHBand="0" w:noVBand="1"/>
      </w:tblPr>
      <w:tblGrid>
        <w:gridCol w:w="3135"/>
        <w:gridCol w:w="3135"/>
        <w:gridCol w:w="3135"/>
      </w:tblGrid>
      <w:tr w:rsidR="00EA5D97" w14:paraId="33BE8A14" w14:textId="77777777">
        <w:tc>
          <w:tcPr>
            <w:tcW w:w="3135" w:type="dxa"/>
            <w:shd w:val="clear" w:color="auto" w:fill="244061" w:themeFill="accent1" w:themeFillShade="80"/>
          </w:tcPr>
          <w:p w:rsidR="00EA5D97" w:rsidRDefault="005311C6" w14:paraId="5932E65C" w14:textId="77777777">
            <w:pPr>
              <w:spacing w:before="40" w:after="40"/>
            </w:pPr>
            <w:r>
              <w:rPr>
                <w:b/>
                <w:color w:val="FFFFFF"/>
                <w:sz w:val="19"/>
              </w:rPr>
              <w:t>Verkorte referentie in tekst</w:t>
            </w:r>
          </w:p>
        </w:tc>
        <w:tc>
          <w:tcPr>
            <w:tcW w:w="3135" w:type="dxa"/>
            <w:shd w:val="clear" w:color="auto" w:fill="244061" w:themeFill="accent1" w:themeFillShade="80"/>
          </w:tcPr>
          <w:p w:rsidR="00EA5D97" w:rsidRDefault="005311C6" w14:paraId="6E256870" w14:textId="77777777">
            <w:pPr>
              <w:spacing w:before="40" w:after="40"/>
            </w:pPr>
            <w:r>
              <w:rPr>
                <w:b/>
                <w:color w:val="FFFFFF"/>
                <w:sz w:val="19"/>
              </w:rPr>
              <w:t>PDF-bestandsnaam</w:t>
            </w:r>
          </w:p>
        </w:tc>
        <w:tc>
          <w:tcPr>
            <w:tcW w:w="3135" w:type="dxa"/>
            <w:shd w:val="clear" w:color="auto" w:fill="244061" w:themeFill="accent1" w:themeFillShade="80"/>
          </w:tcPr>
          <w:p w:rsidR="00EA5D97" w:rsidRDefault="005311C6" w14:paraId="1E10C796" w14:textId="77777777">
            <w:pPr>
              <w:spacing w:before="40" w:after="40"/>
            </w:pPr>
            <w:r>
              <w:rPr>
                <w:b/>
                <w:color w:val="FFFFFF"/>
                <w:sz w:val="19"/>
              </w:rPr>
              <w:t>Relatief pad</w:t>
            </w:r>
          </w:p>
        </w:tc>
      </w:tr>
      <w:tr w:rsidR="00EA5D97" w14:paraId="43114D4A" w14:textId="77777777">
        <w:tc>
          <w:tcPr>
            <w:tcW w:w="3135" w:type="dxa"/>
            <w:shd w:val="clear" w:color="auto" w:fill="F2F6FC"/>
          </w:tcPr>
          <w:p w:rsidR="00EA5D97" w:rsidRDefault="005311C6" w14:paraId="4A99DE6A" w14:textId="77777777">
            <w:pPr>
              <w:spacing w:before="40" w:after="40"/>
            </w:pPr>
            <w:r>
              <w:rPr>
                <w:sz w:val="19"/>
              </w:rPr>
              <w:t>B26 Nota PIV4</w:t>
            </w:r>
          </w:p>
        </w:tc>
        <w:tc>
          <w:tcPr>
            <w:tcW w:w="3135" w:type="dxa"/>
            <w:shd w:val="clear" w:color="auto" w:fill="F2F6FC"/>
          </w:tcPr>
          <w:p w:rsidR="00EA5D97" w:rsidRDefault="005311C6" w14:paraId="39A5B0DA" w14:textId="77777777">
            <w:pPr>
              <w:spacing w:before="40" w:after="40"/>
            </w:pPr>
            <w:r>
              <w:rPr>
                <w:rFonts w:ascii="Consolas" w:hAnsi="Consolas"/>
                <w:sz w:val="19"/>
                <w:shd w:val="clear" w:color="auto" w:fill="F0F0F0"/>
              </w:rPr>
              <w:t>BA_TR4303X-LC-380-GEZEL-IZGEM_B26 Nota PIV4.pdf</w:t>
            </w:r>
          </w:p>
        </w:tc>
        <w:tc>
          <w:tcPr>
            <w:tcW w:w="3135" w:type="dxa"/>
            <w:shd w:val="clear" w:color="auto" w:fill="F2F6FC"/>
          </w:tcPr>
          <w:p w:rsidR="00EA5D97" w:rsidRDefault="005311C6" w14:paraId="0447EF41" w14:textId="77777777">
            <w:pPr>
              <w:spacing w:before="40" w:after="40"/>
            </w:pPr>
            <w:r>
              <w:rPr>
                <w:rFonts w:ascii="Consolas" w:hAnsi="Consolas"/>
                <w:sz w:val="19"/>
                <w:shd w:val="clear" w:color="auto" w:fill="F0F0F0"/>
              </w:rPr>
              <w:t>2025025781 PIV4\Dossierstukken\</w:t>
            </w:r>
          </w:p>
        </w:tc>
      </w:tr>
      <w:tr w:rsidR="00EA5D97" w14:paraId="4C9BB180" w14:textId="77777777">
        <w:tc>
          <w:tcPr>
            <w:tcW w:w="3135" w:type="dxa"/>
          </w:tcPr>
          <w:p w:rsidR="00EA5D97" w:rsidRDefault="005311C6" w14:paraId="58A153B6" w14:textId="77777777">
            <w:pPr>
              <w:spacing w:before="40" w:after="40"/>
            </w:pPr>
            <w:r>
              <w:rPr>
                <w:sz w:val="19"/>
              </w:rPr>
              <w:t>Brief EMF (CONELF-56)</w:t>
            </w:r>
          </w:p>
        </w:tc>
        <w:tc>
          <w:tcPr>
            <w:tcW w:w="3135" w:type="dxa"/>
          </w:tcPr>
          <w:p w:rsidR="00EA5D97" w:rsidRDefault="005311C6" w14:paraId="14D81FA3" w14:textId="77777777">
            <w:pPr>
              <w:spacing w:before="40" w:after="40"/>
            </w:pPr>
            <w:r>
              <w:rPr>
                <w:rFonts w:ascii="Consolas" w:hAnsi="Consolas"/>
                <w:sz w:val="19"/>
                <w:shd w:val="clear" w:color="auto" w:fill="F0F0F0"/>
              </w:rPr>
              <w:t>BA_TR4303X-LC-380-GEZEL-IZEGEM_Brief EMF.pdf</w:t>
            </w:r>
          </w:p>
        </w:tc>
        <w:tc>
          <w:tcPr>
            <w:tcW w:w="3135" w:type="dxa"/>
          </w:tcPr>
          <w:p w:rsidR="00EA5D97" w:rsidRDefault="005311C6" w14:paraId="3601CC31" w14:textId="77777777">
            <w:pPr>
              <w:spacing w:before="40" w:after="40"/>
            </w:pPr>
            <w:r>
              <w:rPr>
                <w:rFonts w:ascii="Consolas" w:hAnsi="Consolas"/>
                <w:sz w:val="19"/>
                <w:shd w:val="clear" w:color="auto" w:fill="F0F0F0"/>
              </w:rPr>
              <w:t>2025025781 PIV4\Dossierstukken\</w:t>
            </w:r>
          </w:p>
        </w:tc>
      </w:tr>
    </w:tbl>
    <w:p w:rsidR="00EA5D97" w:rsidRDefault="00EA5D97" w14:paraId="3CF2D8B6" w14:textId="77777777"/>
    <w:p w:rsidR="00EA5D97" w:rsidRDefault="005311C6" w14:paraId="0EBA0216" w14:textId="77777777">
      <w:pPr>
        <w:pStyle w:val="Heading3"/>
      </w:pPr>
      <w:r>
        <w:t>Adviezen</w:t>
      </w:r>
    </w:p>
    <w:tbl>
      <w:tblPr>
        <w:tblStyle w:val="TableGrid"/>
        <w:tblW w:w="0" w:type="auto"/>
        <w:tblLook w:val="04A0" w:firstRow="1" w:lastRow="0" w:firstColumn="1" w:lastColumn="0" w:noHBand="0" w:noVBand="1"/>
      </w:tblPr>
      <w:tblGrid>
        <w:gridCol w:w="2986"/>
        <w:gridCol w:w="3559"/>
        <w:gridCol w:w="3077"/>
      </w:tblGrid>
      <w:tr w:rsidR="00EA5D97" w14:paraId="15EC5E5D" w14:textId="77777777">
        <w:tc>
          <w:tcPr>
            <w:tcW w:w="3135" w:type="dxa"/>
            <w:shd w:val="clear" w:color="auto" w:fill="244061" w:themeFill="accent1" w:themeFillShade="80"/>
          </w:tcPr>
          <w:p w:rsidR="00EA5D97" w:rsidRDefault="005311C6" w14:paraId="77BF6345" w14:textId="77777777">
            <w:pPr>
              <w:spacing w:before="40" w:after="40"/>
            </w:pPr>
            <w:r>
              <w:rPr>
                <w:b/>
                <w:color w:val="FFFFFF"/>
                <w:sz w:val="19"/>
              </w:rPr>
              <w:t>Verkorte referentie in tekst</w:t>
            </w:r>
          </w:p>
        </w:tc>
        <w:tc>
          <w:tcPr>
            <w:tcW w:w="3135" w:type="dxa"/>
            <w:shd w:val="clear" w:color="auto" w:fill="244061" w:themeFill="accent1" w:themeFillShade="80"/>
          </w:tcPr>
          <w:p w:rsidR="00EA5D97" w:rsidRDefault="005311C6" w14:paraId="07BBDB3B" w14:textId="77777777">
            <w:pPr>
              <w:spacing w:before="40" w:after="40"/>
            </w:pPr>
            <w:r>
              <w:rPr>
                <w:b/>
                <w:color w:val="FFFFFF"/>
                <w:sz w:val="19"/>
              </w:rPr>
              <w:t>PDF-bestandsnaam</w:t>
            </w:r>
          </w:p>
        </w:tc>
        <w:tc>
          <w:tcPr>
            <w:tcW w:w="3135" w:type="dxa"/>
            <w:shd w:val="clear" w:color="auto" w:fill="244061" w:themeFill="accent1" w:themeFillShade="80"/>
          </w:tcPr>
          <w:p w:rsidR="00EA5D97" w:rsidRDefault="005311C6" w14:paraId="5DE53220" w14:textId="77777777">
            <w:pPr>
              <w:spacing w:before="40" w:after="40"/>
            </w:pPr>
            <w:r>
              <w:rPr>
                <w:b/>
                <w:color w:val="FFFFFF"/>
                <w:sz w:val="19"/>
              </w:rPr>
              <w:t>Relatief pad</w:t>
            </w:r>
          </w:p>
        </w:tc>
      </w:tr>
      <w:tr w:rsidR="00EA5D97" w14:paraId="09CD34F3" w14:textId="77777777">
        <w:tc>
          <w:tcPr>
            <w:tcW w:w="3135" w:type="dxa"/>
            <w:shd w:val="clear" w:color="auto" w:fill="F2F6FC"/>
          </w:tcPr>
          <w:p w:rsidR="00EA5D97" w:rsidRDefault="005311C6" w14:paraId="6BF084A4" w14:textId="77777777">
            <w:pPr>
              <w:spacing w:before="40" w:after="40"/>
            </w:pPr>
            <w:r>
              <w:rPr>
                <w:sz w:val="19"/>
              </w:rPr>
              <w:t>Ardooie</w:t>
            </w:r>
          </w:p>
        </w:tc>
        <w:tc>
          <w:tcPr>
            <w:tcW w:w="3135" w:type="dxa"/>
            <w:shd w:val="clear" w:color="auto" w:fill="F2F6FC"/>
          </w:tcPr>
          <w:p w:rsidR="00EA5D97" w:rsidRDefault="005311C6" w14:paraId="3E961406" w14:textId="77777777">
            <w:pPr>
              <w:spacing w:before="40" w:after="40"/>
            </w:pPr>
            <w:r>
              <w:rPr>
                <w:rFonts w:ascii="Consolas" w:hAnsi="Consolas"/>
                <w:sz w:val="19"/>
                <w:shd w:val="clear" w:color="auto" w:fill="F0F0F0"/>
              </w:rPr>
              <w:t>Ardooie advies PR-MER II_ongunstig.pdf</w:t>
            </w:r>
          </w:p>
        </w:tc>
        <w:tc>
          <w:tcPr>
            <w:tcW w:w="3135" w:type="dxa"/>
            <w:shd w:val="clear" w:color="auto" w:fill="F2F6FC"/>
          </w:tcPr>
          <w:p w:rsidR="00EA5D97" w:rsidRDefault="005311C6" w14:paraId="6B5D4528" w14:textId="77777777">
            <w:pPr>
              <w:spacing w:before="40" w:after="40"/>
            </w:pPr>
            <w:r>
              <w:rPr>
                <w:rFonts w:ascii="Consolas" w:hAnsi="Consolas"/>
                <w:sz w:val="19"/>
                <w:shd w:val="clear" w:color="auto" w:fill="F0F0F0"/>
              </w:rPr>
              <w:t>2025025781\ADVIEZEN\</w:t>
            </w:r>
          </w:p>
        </w:tc>
      </w:tr>
      <w:tr w:rsidR="00EA5D97" w14:paraId="17A3B452" w14:textId="77777777">
        <w:tc>
          <w:tcPr>
            <w:tcW w:w="3135" w:type="dxa"/>
          </w:tcPr>
          <w:p w:rsidR="00EA5D97" w:rsidRDefault="005311C6" w14:paraId="6475C4CB" w14:textId="77777777">
            <w:pPr>
              <w:spacing w:before="40" w:after="40"/>
            </w:pPr>
            <w:r>
              <w:rPr>
                <w:sz w:val="19"/>
              </w:rPr>
              <w:t>Deerlijk</w:t>
            </w:r>
          </w:p>
        </w:tc>
        <w:tc>
          <w:tcPr>
            <w:tcW w:w="3135" w:type="dxa"/>
          </w:tcPr>
          <w:p w:rsidR="00EA5D97" w:rsidRDefault="005311C6" w14:paraId="4D1156F6" w14:textId="77777777">
            <w:pPr>
              <w:spacing w:before="40" w:after="40"/>
            </w:pPr>
            <w:r>
              <w:rPr>
                <w:rFonts w:ascii="Consolas" w:hAnsi="Consolas"/>
                <w:sz w:val="19"/>
                <w:shd w:val="clear" w:color="auto" w:fill="F0F0F0"/>
              </w:rPr>
              <w:t>Deerlijk 03.12.2025 - advies inzake ontwerp-MER_ongunstig.pdf</w:t>
            </w:r>
          </w:p>
        </w:tc>
        <w:tc>
          <w:tcPr>
            <w:tcW w:w="3135" w:type="dxa"/>
          </w:tcPr>
          <w:p w:rsidR="00EA5D97" w:rsidRDefault="005311C6" w14:paraId="49F76E58" w14:textId="77777777">
            <w:pPr>
              <w:spacing w:before="40" w:after="40"/>
            </w:pPr>
            <w:r>
              <w:rPr>
                <w:rFonts w:ascii="Consolas" w:hAnsi="Consolas"/>
                <w:sz w:val="19"/>
                <w:shd w:val="clear" w:color="auto" w:fill="F0F0F0"/>
              </w:rPr>
              <w:t>2025025781\ADVIEZEN\</w:t>
            </w:r>
          </w:p>
        </w:tc>
      </w:tr>
      <w:tr w:rsidR="00EA5D97" w14:paraId="1511B41E" w14:textId="77777777">
        <w:tc>
          <w:tcPr>
            <w:tcW w:w="3135" w:type="dxa"/>
            <w:shd w:val="clear" w:color="auto" w:fill="F2F6FC"/>
          </w:tcPr>
          <w:p w:rsidR="00EA5D97" w:rsidRDefault="005311C6" w14:paraId="7C435F5B" w14:textId="77777777">
            <w:pPr>
              <w:spacing w:before="40" w:after="40"/>
            </w:pPr>
            <w:r>
              <w:rPr>
                <w:sz w:val="19"/>
              </w:rPr>
              <w:t>Harelbeke</w:t>
            </w:r>
          </w:p>
        </w:tc>
        <w:tc>
          <w:tcPr>
            <w:tcW w:w="3135" w:type="dxa"/>
            <w:shd w:val="clear" w:color="auto" w:fill="F2F6FC"/>
          </w:tcPr>
          <w:p w:rsidR="00EA5D97" w:rsidRDefault="005311C6" w14:paraId="0C320B6D" w14:textId="77777777">
            <w:pPr>
              <w:spacing w:before="40" w:after="40"/>
            </w:pPr>
            <w:r>
              <w:rPr>
                <w:rFonts w:ascii="Consolas" w:hAnsi="Consolas"/>
                <w:sz w:val="19"/>
                <w:shd w:val="clear" w:color="auto" w:fill="F0F0F0"/>
              </w:rPr>
              <w:t>Harelbeke advies_project_Mer_ongunstig.pdf</w:t>
            </w:r>
          </w:p>
        </w:tc>
        <w:tc>
          <w:tcPr>
            <w:tcW w:w="3135" w:type="dxa"/>
            <w:shd w:val="clear" w:color="auto" w:fill="F2F6FC"/>
          </w:tcPr>
          <w:p w:rsidR="00EA5D97" w:rsidRDefault="005311C6" w14:paraId="2609C618" w14:textId="77777777">
            <w:pPr>
              <w:spacing w:before="40" w:after="40"/>
            </w:pPr>
            <w:r>
              <w:rPr>
                <w:rFonts w:ascii="Consolas" w:hAnsi="Consolas"/>
                <w:sz w:val="19"/>
                <w:shd w:val="clear" w:color="auto" w:fill="F0F0F0"/>
              </w:rPr>
              <w:t>2025025781\ADVIEZEN\</w:t>
            </w:r>
          </w:p>
        </w:tc>
      </w:tr>
      <w:tr w:rsidR="00EA5D97" w14:paraId="5E298217" w14:textId="77777777">
        <w:tc>
          <w:tcPr>
            <w:tcW w:w="3135" w:type="dxa"/>
          </w:tcPr>
          <w:p w:rsidR="00EA5D97" w:rsidRDefault="005311C6" w14:paraId="1021EF47" w14:textId="77777777">
            <w:pPr>
              <w:spacing w:before="40" w:after="40"/>
            </w:pPr>
            <w:r>
              <w:rPr>
                <w:sz w:val="19"/>
              </w:rPr>
              <w:t>Jabbeke</w:t>
            </w:r>
          </w:p>
        </w:tc>
        <w:tc>
          <w:tcPr>
            <w:tcW w:w="3135" w:type="dxa"/>
          </w:tcPr>
          <w:p w:rsidR="00EA5D97" w:rsidRDefault="005311C6" w14:paraId="594D54B1" w14:textId="77777777">
            <w:pPr>
              <w:spacing w:before="40" w:after="40"/>
            </w:pPr>
            <w:r>
              <w:rPr>
                <w:rFonts w:ascii="Consolas" w:hAnsi="Consolas"/>
                <w:sz w:val="19"/>
                <w:shd w:val="clear" w:color="auto" w:fill="F0F0F0"/>
              </w:rPr>
              <w:t>Jabbeke 713335_ADVIES MER VENTILUS_ongunstig.pdf</w:t>
            </w:r>
          </w:p>
        </w:tc>
        <w:tc>
          <w:tcPr>
            <w:tcW w:w="3135" w:type="dxa"/>
          </w:tcPr>
          <w:p w:rsidR="00EA5D97" w:rsidRDefault="005311C6" w14:paraId="20AE0C88" w14:textId="77777777">
            <w:pPr>
              <w:spacing w:before="40" w:after="40"/>
            </w:pPr>
            <w:r>
              <w:rPr>
                <w:rFonts w:ascii="Consolas" w:hAnsi="Consolas"/>
                <w:sz w:val="19"/>
                <w:shd w:val="clear" w:color="auto" w:fill="F0F0F0"/>
              </w:rPr>
              <w:t>2025025781\ADVIEZEN\</w:t>
            </w:r>
          </w:p>
        </w:tc>
      </w:tr>
      <w:tr w:rsidR="00EA5D97" w14:paraId="3156AC6E" w14:textId="77777777">
        <w:tc>
          <w:tcPr>
            <w:tcW w:w="3135" w:type="dxa"/>
            <w:shd w:val="clear" w:color="auto" w:fill="F2F6FC"/>
          </w:tcPr>
          <w:p w:rsidR="00EA5D97" w:rsidRDefault="005311C6" w14:paraId="1A341AB5" w14:textId="77777777">
            <w:pPr>
              <w:spacing w:before="40" w:after="40"/>
            </w:pPr>
            <w:r>
              <w:rPr>
                <w:sz w:val="19"/>
              </w:rPr>
              <w:t>Lendelede</w:t>
            </w:r>
          </w:p>
        </w:tc>
        <w:tc>
          <w:tcPr>
            <w:tcW w:w="3135" w:type="dxa"/>
            <w:shd w:val="clear" w:color="auto" w:fill="F2F6FC"/>
          </w:tcPr>
          <w:p w:rsidR="00EA5D97" w:rsidRDefault="005311C6" w14:paraId="0554AC32" w14:textId="77777777">
            <w:pPr>
              <w:spacing w:before="40" w:after="40"/>
            </w:pPr>
            <w:r>
              <w:rPr>
                <w:rFonts w:ascii="Consolas" w:hAnsi="Consolas"/>
                <w:sz w:val="19"/>
                <w:shd w:val="clear" w:color="auto" w:fill="F0F0F0"/>
              </w:rPr>
              <w:t>Lendelede_01122025_advies project-MER.pdf</w:t>
            </w:r>
          </w:p>
        </w:tc>
        <w:tc>
          <w:tcPr>
            <w:tcW w:w="3135" w:type="dxa"/>
            <w:shd w:val="clear" w:color="auto" w:fill="F2F6FC"/>
          </w:tcPr>
          <w:p w:rsidR="00EA5D97" w:rsidRDefault="005311C6" w14:paraId="49C6B275" w14:textId="77777777">
            <w:pPr>
              <w:spacing w:before="40" w:after="40"/>
            </w:pPr>
            <w:r>
              <w:rPr>
                <w:rFonts w:ascii="Consolas" w:hAnsi="Consolas"/>
                <w:sz w:val="19"/>
                <w:shd w:val="clear" w:color="auto" w:fill="F0F0F0"/>
              </w:rPr>
              <w:t>2025025781\ADVIEZEN\</w:t>
            </w:r>
          </w:p>
        </w:tc>
      </w:tr>
      <w:tr w:rsidR="00EA5D97" w14:paraId="3C117F12" w14:textId="77777777">
        <w:tc>
          <w:tcPr>
            <w:tcW w:w="3135" w:type="dxa"/>
          </w:tcPr>
          <w:p w:rsidR="00EA5D97" w:rsidRDefault="005311C6" w14:paraId="7473E00A" w14:textId="77777777">
            <w:pPr>
              <w:spacing w:before="40" w:after="40"/>
            </w:pPr>
            <w:r>
              <w:rPr>
                <w:sz w:val="19"/>
              </w:rPr>
              <w:t>Oostkamp</w:t>
            </w:r>
          </w:p>
        </w:tc>
        <w:tc>
          <w:tcPr>
            <w:tcW w:w="3135" w:type="dxa"/>
          </w:tcPr>
          <w:p w:rsidR="00EA5D97" w:rsidRDefault="005311C6" w14:paraId="1E05D9F0" w14:textId="77777777">
            <w:pPr>
              <w:spacing w:before="40" w:after="40"/>
            </w:pPr>
            <w:r>
              <w:rPr>
                <w:rFonts w:ascii="Consolas" w:hAnsi="Consolas"/>
                <w:sz w:val="19"/>
                <w:shd w:val="clear" w:color="auto" w:fill="F0F0F0"/>
              </w:rPr>
              <w:t>Oostkamp OMV_2025025781_Advies aan de provincie.pdf</w:t>
            </w:r>
          </w:p>
        </w:tc>
        <w:tc>
          <w:tcPr>
            <w:tcW w:w="3135" w:type="dxa"/>
          </w:tcPr>
          <w:p w:rsidR="00EA5D97" w:rsidRDefault="005311C6" w14:paraId="4FD1E2BD" w14:textId="77777777">
            <w:pPr>
              <w:spacing w:before="40" w:after="40"/>
            </w:pPr>
            <w:r>
              <w:rPr>
                <w:rFonts w:ascii="Consolas" w:hAnsi="Consolas"/>
                <w:sz w:val="19"/>
                <w:shd w:val="clear" w:color="auto" w:fill="F0F0F0"/>
              </w:rPr>
              <w:t>2025025781\ADVIEZEN\</w:t>
            </w:r>
          </w:p>
        </w:tc>
      </w:tr>
      <w:tr w:rsidR="00EA5D97" w14:paraId="38B46E17" w14:textId="77777777">
        <w:tc>
          <w:tcPr>
            <w:tcW w:w="3135" w:type="dxa"/>
            <w:shd w:val="clear" w:color="auto" w:fill="F2F6FC"/>
          </w:tcPr>
          <w:p w:rsidR="00EA5D97" w:rsidRDefault="005311C6" w14:paraId="63409D29" w14:textId="77777777">
            <w:pPr>
              <w:spacing w:before="40" w:after="40"/>
            </w:pPr>
            <w:r>
              <w:rPr>
                <w:sz w:val="19"/>
              </w:rPr>
              <w:t>Zedelgem</w:t>
            </w:r>
          </w:p>
        </w:tc>
        <w:tc>
          <w:tcPr>
            <w:tcW w:w="3135" w:type="dxa"/>
            <w:shd w:val="clear" w:color="auto" w:fill="F2F6FC"/>
          </w:tcPr>
          <w:p w:rsidR="00EA5D97" w:rsidRDefault="005311C6" w14:paraId="05A2C385" w14:textId="77777777">
            <w:pPr>
              <w:spacing w:before="40" w:after="40"/>
            </w:pPr>
            <w:r>
              <w:rPr>
                <w:rFonts w:ascii="Consolas" w:hAnsi="Consolas"/>
                <w:sz w:val="19"/>
                <w:shd w:val="clear" w:color="auto" w:fill="F0F0F0"/>
              </w:rPr>
              <w:t>Zedelgem advies OMV 2025025781 projectMER gemeente.pdf</w:t>
            </w:r>
          </w:p>
        </w:tc>
        <w:tc>
          <w:tcPr>
            <w:tcW w:w="3135" w:type="dxa"/>
            <w:shd w:val="clear" w:color="auto" w:fill="F2F6FC"/>
          </w:tcPr>
          <w:p w:rsidR="00EA5D97" w:rsidRDefault="005311C6" w14:paraId="6AB1578A" w14:textId="77777777">
            <w:pPr>
              <w:spacing w:before="40" w:after="40"/>
            </w:pPr>
            <w:r>
              <w:rPr>
                <w:rFonts w:ascii="Consolas" w:hAnsi="Consolas"/>
                <w:sz w:val="19"/>
                <w:shd w:val="clear" w:color="auto" w:fill="F0F0F0"/>
              </w:rPr>
              <w:t>2025025781\ADVIEZEN\</w:t>
            </w:r>
          </w:p>
        </w:tc>
      </w:tr>
    </w:tbl>
    <w:p w:rsidR="00EA5D97" w:rsidRDefault="00EA5D97" w14:paraId="0FB78278" w14:textId="77777777"/>
    <w:sectPr w:rsidR="00EA5D97" w:rsidSect="00034616">
      <w:pgSz w:w="12240" w:h="15840" w:orient="portrait"/>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1bc645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f6807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0e73d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3e3f8e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b73a3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983d4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cc74e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d8bab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70373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30cdf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22cc4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7d50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bc0a1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ed7d9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0a815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1007f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7aaf4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57f45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5EBCAEE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7F8E8EE"/>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140E8FD"/>
    <w:multiLevelType w:val="hybridMultilevel"/>
    <w:tmpl w:val="FFFFFFFF"/>
    <w:lvl w:ilvl="0" w:tplc="5ED6B26E">
      <w:start w:val="1"/>
      <w:numFmt w:val="decimal"/>
      <w:lvlText w:val="%1."/>
      <w:lvlJc w:val="left"/>
      <w:pPr>
        <w:ind w:left="720" w:hanging="360"/>
      </w:pPr>
    </w:lvl>
    <w:lvl w:ilvl="1" w:tplc="CEF2C448">
      <w:start w:val="1"/>
      <w:numFmt w:val="lowerLetter"/>
      <w:lvlText w:val="%2."/>
      <w:lvlJc w:val="left"/>
      <w:pPr>
        <w:ind w:left="1440" w:hanging="360"/>
      </w:pPr>
    </w:lvl>
    <w:lvl w:ilvl="2" w:tplc="7654D9BC">
      <w:start w:val="1"/>
      <w:numFmt w:val="lowerRoman"/>
      <w:lvlText w:val="%3."/>
      <w:lvlJc w:val="right"/>
      <w:pPr>
        <w:ind w:left="2160" w:hanging="180"/>
      </w:pPr>
    </w:lvl>
    <w:lvl w:ilvl="3" w:tplc="92589D44">
      <w:start w:val="1"/>
      <w:numFmt w:val="decimal"/>
      <w:lvlText w:val="%4."/>
      <w:lvlJc w:val="left"/>
      <w:pPr>
        <w:ind w:left="2880" w:hanging="360"/>
      </w:pPr>
    </w:lvl>
    <w:lvl w:ilvl="4" w:tplc="DBFCEC18">
      <w:start w:val="1"/>
      <w:numFmt w:val="lowerLetter"/>
      <w:lvlText w:val="%5."/>
      <w:lvlJc w:val="left"/>
      <w:pPr>
        <w:ind w:left="3600" w:hanging="360"/>
      </w:pPr>
    </w:lvl>
    <w:lvl w:ilvl="5" w:tplc="E28CA6A6">
      <w:start w:val="1"/>
      <w:numFmt w:val="lowerRoman"/>
      <w:lvlText w:val="%6."/>
      <w:lvlJc w:val="right"/>
      <w:pPr>
        <w:ind w:left="4320" w:hanging="180"/>
      </w:pPr>
    </w:lvl>
    <w:lvl w:ilvl="6" w:tplc="DF149DD2">
      <w:start w:val="1"/>
      <w:numFmt w:val="decimal"/>
      <w:lvlText w:val="%7."/>
      <w:lvlJc w:val="left"/>
      <w:pPr>
        <w:ind w:left="5040" w:hanging="360"/>
      </w:pPr>
    </w:lvl>
    <w:lvl w:ilvl="7" w:tplc="0444263C">
      <w:start w:val="1"/>
      <w:numFmt w:val="lowerLetter"/>
      <w:lvlText w:val="%8."/>
      <w:lvlJc w:val="left"/>
      <w:pPr>
        <w:ind w:left="5760" w:hanging="360"/>
      </w:pPr>
    </w:lvl>
    <w:lvl w:ilvl="8" w:tplc="57FA8692">
      <w:start w:val="1"/>
      <w:numFmt w:val="lowerRoman"/>
      <w:lvlText w:val="%9."/>
      <w:lvlJc w:val="right"/>
      <w:pPr>
        <w:ind w:left="6480" w:hanging="180"/>
      </w:pPr>
    </w:lvl>
  </w:abstractNum>
  <w:abstractNum w:abstractNumId="10" w15:restartNumberingAfterBreak="0">
    <w:nsid w:val="0BE86999"/>
    <w:multiLevelType w:val="hybridMultilevel"/>
    <w:tmpl w:val="FFFFFFFF"/>
    <w:lvl w:ilvl="0" w:tplc="609A81DC">
      <w:start w:val="1"/>
      <w:numFmt w:val="decimal"/>
      <w:lvlText w:val="%1."/>
      <w:lvlJc w:val="left"/>
      <w:pPr>
        <w:ind w:left="720" w:hanging="360"/>
      </w:pPr>
    </w:lvl>
    <w:lvl w:ilvl="1" w:tplc="3DCACD68">
      <w:start w:val="1"/>
      <w:numFmt w:val="lowerLetter"/>
      <w:lvlText w:val="%2."/>
      <w:lvlJc w:val="left"/>
      <w:pPr>
        <w:ind w:left="1440" w:hanging="360"/>
      </w:pPr>
    </w:lvl>
    <w:lvl w:ilvl="2" w:tplc="95683C82">
      <w:start w:val="1"/>
      <w:numFmt w:val="lowerRoman"/>
      <w:lvlText w:val="%3."/>
      <w:lvlJc w:val="right"/>
      <w:pPr>
        <w:ind w:left="2160" w:hanging="180"/>
      </w:pPr>
    </w:lvl>
    <w:lvl w:ilvl="3" w:tplc="AC582BCA">
      <w:start w:val="1"/>
      <w:numFmt w:val="decimal"/>
      <w:lvlText w:val="%4."/>
      <w:lvlJc w:val="left"/>
      <w:pPr>
        <w:ind w:left="2880" w:hanging="360"/>
      </w:pPr>
    </w:lvl>
    <w:lvl w:ilvl="4" w:tplc="30B4F580">
      <w:start w:val="1"/>
      <w:numFmt w:val="lowerLetter"/>
      <w:lvlText w:val="%5."/>
      <w:lvlJc w:val="left"/>
      <w:pPr>
        <w:ind w:left="3600" w:hanging="360"/>
      </w:pPr>
    </w:lvl>
    <w:lvl w:ilvl="5" w:tplc="B7DC1E64">
      <w:start w:val="1"/>
      <w:numFmt w:val="lowerRoman"/>
      <w:lvlText w:val="%6."/>
      <w:lvlJc w:val="right"/>
      <w:pPr>
        <w:ind w:left="4320" w:hanging="180"/>
      </w:pPr>
    </w:lvl>
    <w:lvl w:ilvl="6" w:tplc="59184C84">
      <w:start w:val="1"/>
      <w:numFmt w:val="decimal"/>
      <w:lvlText w:val="%7."/>
      <w:lvlJc w:val="left"/>
      <w:pPr>
        <w:ind w:left="5040" w:hanging="360"/>
      </w:pPr>
    </w:lvl>
    <w:lvl w:ilvl="7" w:tplc="FAA40D40">
      <w:start w:val="1"/>
      <w:numFmt w:val="lowerLetter"/>
      <w:lvlText w:val="%8."/>
      <w:lvlJc w:val="left"/>
      <w:pPr>
        <w:ind w:left="5760" w:hanging="360"/>
      </w:pPr>
    </w:lvl>
    <w:lvl w:ilvl="8" w:tplc="CF72FF00">
      <w:start w:val="1"/>
      <w:numFmt w:val="lowerRoman"/>
      <w:lvlText w:val="%9."/>
      <w:lvlJc w:val="right"/>
      <w:pPr>
        <w:ind w:left="6480" w:hanging="180"/>
      </w:pPr>
    </w:lvl>
  </w:abstractNum>
  <w:abstractNum w:abstractNumId="11" w15:restartNumberingAfterBreak="0">
    <w:nsid w:val="218DD30D"/>
    <w:multiLevelType w:val="hybridMultilevel"/>
    <w:tmpl w:val="FFFFFFFF"/>
    <w:lvl w:ilvl="0" w:tplc="6A2A6B02">
      <w:start w:val="1"/>
      <w:numFmt w:val="decimal"/>
      <w:lvlText w:val="%1."/>
      <w:lvlJc w:val="left"/>
      <w:pPr>
        <w:ind w:left="720" w:hanging="360"/>
      </w:pPr>
    </w:lvl>
    <w:lvl w:ilvl="1" w:tplc="91169E68">
      <w:start w:val="1"/>
      <w:numFmt w:val="lowerLetter"/>
      <w:lvlText w:val="%2."/>
      <w:lvlJc w:val="left"/>
      <w:pPr>
        <w:ind w:left="1440" w:hanging="360"/>
      </w:pPr>
    </w:lvl>
    <w:lvl w:ilvl="2" w:tplc="969E9A4E">
      <w:start w:val="1"/>
      <w:numFmt w:val="lowerRoman"/>
      <w:lvlText w:val="%3."/>
      <w:lvlJc w:val="right"/>
      <w:pPr>
        <w:ind w:left="2160" w:hanging="180"/>
      </w:pPr>
    </w:lvl>
    <w:lvl w:ilvl="3" w:tplc="19C03B8E">
      <w:start w:val="1"/>
      <w:numFmt w:val="decimal"/>
      <w:lvlText w:val="%4."/>
      <w:lvlJc w:val="left"/>
      <w:pPr>
        <w:ind w:left="2880" w:hanging="360"/>
      </w:pPr>
    </w:lvl>
    <w:lvl w:ilvl="4" w:tplc="194A70E0">
      <w:start w:val="1"/>
      <w:numFmt w:val="lowerLetter"/>
      <w:lvlText w:val="%5."/>
      <w:lvlJc w:val="left"/>
      <w:pPr>
        <w:ind w:left="3600" w:hanging="360"/>
      </w:pPr>
    </w:lvl>
    <w:lvl w:ilvl="5" w:tplc="A33E2B2C">
      <w:start w:val="1"/>
      <w:numFmt w:val="lowerRoman"/>
      <w:lvlText w:val="%6."/>
      <w:lvlJc w:val="right"/>
      <w:pPr>
        <w:ind w:left="4320" w:hanging="180"/>
      </w:pPr>
    </w:lvl>
    <w:lvl w:ilvl="6" w:tplc="A5AE99BE">
      <w:start w:val="1"/>
      <w:numFmt w:val="decimal"/>
      <w:lvlText w:val="%7."/>
      <w:lvlJc w:val="left"/>
      <w:pPr>
        <w:ind w:left="5040" w:hanging="360"/>
      </w:pPr>
    </w:lvl>
    <w:lvl w:ilvl="7" w:tplc="85CA2AAE">
      <w:start w:val="1"/>
      <w:numFmt w:val="lowerLetter"/>
      <w:lvlText w:val="%8."/>
      <w:lvlJc w:val="left"/>
      <w:pPr>
        <w:ind w:left="5760" w:hanging="360"/>
      </w:pPr>
    </w:lvl>
    <w:lvl w:ilvl="8" w:tplc="C518A1FC">
      <w:start w:val="1"/>
      <w:numFmt w:val="lowerRoman"/>
      <w:lvlText w:val="%9."/>
      <w:lvlJc w:val="right"/>
      <w:pPr>
        <w:ind w:left="6480" w:hanging="180"/>
      </w:pPr>
    </w:lvl>
  </w:abstractNum>
  <w:abstractNum w:abstractNumId="12" w15:restartNumberingAfterBreak="0">
    <w:nsid w:val="2233D63A"/>
    <w:multiLevelType w:val="hybridMultilevel"/>
    <w:tmpl w:val="FFFFFFFF"/>
    <w:lvl w:ilvl="0" w:tplc="D66A21B6">
      <w:start w:val="1"/>
      <w:numFmt w:val="decimal"/>
      <w:lvlText w:val="%1."/>
      <w:lvlJc w:val="left"/>
      <w:pPr>
        <w:ind w:left="720" w:hanging="360"/>
      </w:pPr>
    </w:lvl>
    <w:lvl w:ilvl="1" w:tplc="B77E0396">
      <w:start w:val="1"/>
      <w:numFmt w:val="lowerLetter"/>
      <w:lvlText w:val="%2."/>
      <w:lvlJc w:val="left"/>
      <w:pPr>
        <w:ind w:left="1440" w:hanging="360"/>
      </w:pPr>
    </w:lvl>
    <w:lvl w:ilvl="2" w:tplc="0E12228A">
      <w:start w:val="1"/>
      <w:numFmt w:val="lowerRoman"/>
      <w:lvlText w:val="%3."/>
      <w:lvlJc w:val="right"/>
      <w:pPr>
        <w:ind w:left="2160" w:hanging="180"/>
      </w:pPr>
    </w:lvl>
    <w:lvl w:ilvl="3" w:tplc="92BCB772">
      <w:start w:val="1"/>
      <w:numFmt w:val="decimal"/>
      <w:lvlText w:val="%4."/>
      <w:lvlJc w:val="left"/>
      <w:pPr>
        <w:ind w:left="2880" w:hanging="360"/>
      </w:pPr>
    </w:lvl>
    <w:lvl w:ilvl="4" w:tplc="18FAA114">
      <w:start w:val="1"/>
      <w:numFmt w:val="lowerLetter"/>
      <w:lvlText w:val="%5."/>
      <w:lvlJc w:val="left"/>
      <w:pPr>
        <w:ind w:left="3600" w:hanging="360"/>
      </w:pPr>
    </w:lvl>
    <w:lvl w:ilvl="5" w:tplc="EC343B68">
      <w:start w:val="1"/>
      <w:numFmt w:val="lowerRoman"/>
      <w:lvlText w:val="%6."/>
      <w:lvlJc w:val="right"/>
      <w:pPr>
        <w:ind w:left="4320" w:hanging="180"/>
      </w:pPr>
    </w:lvl>
    <w:lvl w:ilvl="6" w:tplc="55CAA3A4">
      <w:start w:val="1"/>
      <w:numFmt w:val="decimal"/>
      <w:lvlText w:val="%7."/>
      <w:lvlJc w:val="left"/>
      <w:pPr>
        <w:ind w:left="5040" w:hanging="360"/>
      </w:pPr>
    </w:lvl>
    <w:lvl w:ilvl="7" w:tplc="6EB47D84">
      <w:start w:val="1"/>
      <w:numFmt w:val="lowerLetter"/>
      <w:lvlText w:val="%8."/>
      <w:lvlJc w:val="left"/>
      <w:pPr>
        <w:ind w:left="5760" w:hanging="360"/>
      </w:pPr>
    </w:lvl>
    <w:lvl w:ilvl="8" w:tplc="AF364666">
      <w:start w:val="1"/>
      <w:numFmt w:val="lowerRoman"/>
      <w:lvlText w:val="%9."/>
      <w:lvlJc w:val="right"/>
      <w:pPr>
        <w:ind w:left="6480" w:hanging="180"/>
      </w:pPr>
    </w:lvl>
  </w:abstractNum>
  <w:abstractNum w:abstractNumId="13" w15:restartNumberingAfterBreak="0">
    <w:nsid w:val="2EDC0BC0"/>
    <w:multiLevelType w:val="hybridMultilevel"/>
    <w:tmpl w:val="FFFFFFFF"/>
    <w:lvl w:ilvl="0" w:tplc="1FD81B40">
      <w:start w:val="1"/>
      <w:numFmt w:val="decimal"/>
      <w:lvlText w:val="%1."/>
      <w:lvlJc w:val="left"/>
      <w:pPr>
        <w:ind w:left="720" w:hanging="360"/>
      </w:pPr>
    </w:lvl>
    <w:lvl w:ilvl="1" w:tplc="CD4C5CB0">
      <w:start w:val="1"/>
      <w:numFmt w:val="lowerLetter"/>
      <w:lvlText w:val="%2."/>
      <w:lvlJc w:val="left"/>
      <w:pPr>
        <w:ind w:left="1440" w:hanging="360"/>
      </w:pPr>
    </w:lvl>
    <w:lvl w:ilvl="2" w:tplc="4BEAD2EC">
      <w:start w:val="1"/>
      <w:numFmt w:val="lowerRoman"/>
      <w:lvlText w:val="%3."/>
      <w:lvlJc w:val="right"/>
      <w:pPr>
        <w:ind w:left="2160" w:hanging="180"/>
      </w:pPr>
    </w:lvl>
    <w:lvl w:ilvl="3" w:tplc="2A686670">
      <w:start w:val="1"/>
      <w:numFmt w:val="decimal"/>
      <w:lvlText w:val="%4."/>
      <w:lvlJc w:val="left"/>
      <w:pPr>
        <w:ind w:left="2880" w:hanging="360"/>
      </w:pPr>
    </w:lvl>
    <w:lvl w:ilvl="4" w:tplc="5AB41770">
      <w:start w:val="1"/>
      <w:numFmt w:val="lowerLetter"/>
      <w:lvlText w:val="%5."/>
      <w:lvlJc w:val="left"/>
      <w:pPr>
        <w:ind w:left="3600" w:hanging="360"/>
      </w:pPr>
    </w:lvl>
    <w:lvl w:ilvl="5" w:tplc="8D6AADF4">
      <w:start w:val="1"/>
      <w:numFmt w:val="lowerRoman"/>
      <w:lvlText w:val="%6."/>
      <w:lvlJc w:val="right"/>
      <w:pPr>
        <w:ind w:left="4320" w:hanging="180"/>
      </w:pPr>
    </w:lvl>
    <w:lvl w:ilvl="6" w:tplc="1562962E">
      <w:start w:val="1"/>
      <w:numFmt w:val="decimal"/>
      <w:lvlText w:val="%7."/>
      <w:lvlJc w:val="left"/>
      <w:pPr>
        <w:ind w:left="5040" w:hanging="360"/>
      </w:pPr>
    </w:lvl>
    <w:lvl w:ilvl="7" w:tplc="008C4A78">
      <w:start w:val="1"/>
      <w:numFmt w:val="lowerLetter"/>
      <w:lvlText w:val="%8."/>
      <w:lvlJc w:val="left"/>
      <w:pPr>
        <w:ind w:left="5760" w:hanging="360"/>
      </w:pPr>
    </w:lvl>
    <w:lvl w:ilvl="8" w:tplc="6BC62172">
      <w:start w:val="1"/>
      <w:numFmt w:val="lowerRoman"/>
      <w:lvlText w:val="%9."/>
      <w:lvlJc w:val="right"/>
      <w:pPr>
        <w:ind w:left="6480" w:hanging="180"/>
      </w:pPr>
    </w:lvl>
  </w:abstractNum>
  <w:abstractNum w:abstractNumId="14" w15:restartNumberingAfterBreak="0">
    <w:nsid w:val="43EB1D44"/>
    <w:multiLevelType w:val="hybridMultilevel"/>
    <w:tmpl w:val="FFFFFFFF"/>
    <w:lvl w:ilvl="0" w:tplc="79D2D722">
      <w:start w:val="1"/>
      <w:numFmt w:val="decimal"/>
      <w:lvlText w:val="%1."/>
      <w:lvlJc w:val="left"/>
      <w:pPr>
        <w:ind w:left="720" w:hanging="360"/>
      </w:pPr>
    </w:lvl>
    <w:lvl w:ilvl="1" w:tplc="B1FEF080">
      <w:start w:val="1"/>
      <w:numFmt w:val="lowerLetter"/>
      <w:lvlText w:val="%2."/>
      <w:lvlJc w:val="left"/>
      <w:pPr>
        <w:ind w:left="1440" w:hanging="360"/>
      </w:pPr>
    </w:lvl>
    <w:lvl w:ilvl="2" w:tplc="1CECF428">
      <w:start w:val="1"/>
      <w:numFmt w:val="lowerRoman"/>
      <w:lvlText w:val="%3."/>
      <w:lvlJc w:val="right"/>
      <w:pPr>
        <w:ind w:left="2160" w:hanging="180"/>
      </w:pPr>
    </w:lvl>
    <w:lvl w:ilvl="3" w:tplc="3252FEA0">
      <w:start w:val="1"/>
      <w:numFmt w:val="decimal"/>
      <w:lvlText w:val="%4."/>
      <w:lvlJc w:val="left"/>
      <w:pPr>
        <w:ind w:left="2880" w:hanging="360"/>
      </w:pPr>
    </w:lvl>
    <w:lvl w:ilvl="4" w:tplc="E216EBF8">
      <w:start w:val="1"/>
      <w:numFmt w:val="lowerLetter"/>
      <w:lvlText w:val="%5."/>
      <w:lvlJc w:val="left"/>
      <w:pPr>
        <w:ind w:left="3600" w:hanging="360"/>
      </w:pPr>
    </w:lvl>
    <w:lvl w:ilvl="5" w:tplc="26C80CA0">
      <w:start w:val="1"/>
      <w:numFmt w:val="lowerRoman"/>
      <w:lvlText w:val="%6."/>
      <w:lvlJc w:val="right"/>
      <w:pPr>
        <w:ind w:left="4320" w:hanging="180"/>
      </w:pPr>
    </w:lvl>
    <w:lvl w:ilvl="6" w:tplc="A208995E">
      <w:start w:val="1"/>
      <w:numFmt w:val="decimal"/>
      <w:lvlText w:val="%7."/>
      <w:lvlJc w:val="left"/>
      <w:pPr>
        <w:ind w:left="5040" w:hanging="360"/>
      </w:pPr>
    </w:lvl>
    <w:lvl w:ilvl="7" w:tplc="578E692E">
      <w:start w:val="1"/>
      <w:numFmt w:val="lowerLetter"/>
      <w:lvlText w:val="%8."/>
      <w:lvlJc w:val="left"/>
      <w:pPr>
        <w:ind w:left="5760" w:hanging="360"/>
      </w:pPr>
    </w:lvl>
    <w:lvl w:ilvl="8" w:tplc="87289258">
      <w:start w:val="1"/>
      <w:numFmt w:val="lowerRoman"/>
      <w:lvlText w:val="%9."/>
      <w:lvlJc w:val="right"/>
      <w:pPr>
        <w:ind w:left="6480" w:hanging="180"/>
      </w:pPr>
    </w:lvl>
  </w:abstractNum>
  <w:abstractNum w:abstractNumId="15" w15:restartNumberingAfterBreak="0">
    <w:nsid w:val="5D9F33E2"/>
    <w:multiLevelType w:val="hybridMultilevel"/>
    <w:tmpl w:val="FFFFFFFF"/>
    <w:lvl w:ilvl="0" w:tplc="2B165D28">
      <w:start w:val="1"/>
      <w:numFmt w:val="decimal"/>
      <w:lvlText w:val="%1."/>
      <w:lvlJc w:val="left"/>
      <w:pPr>
        <w:ind w:left="720" w:hanging="360"/>
      </w:pPr>
    </w:lvl>
    <w:lvl w:ilvl="1" w:tplc="5CCEB268">
      <w:start w:val="1"/>
      <w:numFmt w:val="lowerLetter"/>
      <w:lvlText w:val="%2."/>
      <w:lvlJc w:val="left"/>
      <w:pPr>
        <w:ind w:left="1440" w:hanging="360"/>
      </w:pPr>
    </w:lvl>
    <w:lvl w:ilvl="2" w:tplc="D006F5BE">
      <w:start w:val="1"/>
      <w:numFmt w:val="lowerRoman"/>
      <w:lvlText w:val="%3."/>
      <w:lvlJc w:val="right"/>
      <w:pPr>
        <w:ind w:left="2160" w:hanging="180"/>
      </w:pPr>
    </w:lvl>
    <w:lvl w:ilvl="3" w:tplc="43E64822">
      <w:start w:val="1"/>
      <w:numFmt w:val="decimal"/>
      <w:lvlText w:val="%4."/>
      <w:lvlJc w:val="left"/>
      <w:pPr>
        <w:ind w:left="2880" w:hanging="360"/>
      </w:pPr>
    </w:lvl>
    <w:lvl w:ilvl="4" w:tplc="CE32D47A">
      <w:start w:val="1"/>
      <w:numFmt w:val="lowerLetter"/>
      <w:lvlText w:val="%5."/>
      <w:lvlJc w:val="left"/>
      <w:pPr>
        <w:ind w:left="3600" w:hanging="360"/>
      </w:pPr>
    </w:lvl>
    <w:lvl w:ilvl="5" w:tplc="0228EF62">
      <w:start w:val="1"/>
      <w:numFmt w:val="lowerRoman"/>
      <w:lvlText w:val="%6."/>
      <w:lvlJc w:val="right"/>
      <w:pPr>
        <w:ind w:left="4320" w:hanging="180"/>
      </w:pPr>
    </w:lvl>
    <w:lvl w:ilvl="6" w:tplc="3AEE04CE">
      <w:start w:val="1"/>
      <w:numFmt w:val="decimal"/>
      <w:lvlText w:val="%7."/>
      <w:lvlJc w:val="left"/>
      <w:pPr>
        <w:ind w:left="5040" w:hanging="360"/>
      </w:pPr>
    </w:lvl>
    <w:lvl w:ilvl="7" w:tplc="AFCCBE22">
      <w:start w:val="1"/>
      <w:numFmt w:val="lowerLetter"/>
      <w:lvlText w:val="%8."/>
      <w:lvlJc w:val="left"/>
      <w:pPr>
        <w:ind w:left="5760" w:hanging="360"/>
      </w:pPr>
    </w:lvl>
    <w:lvl w:ilvl="8" w:tplc="D3EE104C">
      <w:start w:val="1"/>
      <w:numFmt w:val="lowerRoman"/>
      <w:lvlText w:val="%9."/>
      <w:lvlJc w:val="right"/>
      <w:pPr>
        <w:ind w:left="6480" w:hanging="180"/>
      </w:pPr>
    </w:lvl>
  </w:abstractNum>
  <w:abstractNum w:abstractNumId="16" w15:restartNumberingAfterBreak="0">
    <w:nsid w:val="63583EB5"/>
    <w:multiLevelType w:val="hybridMultilevel"/>
    <w:tmpl w:val="FFFFFFFF"/>
    <w:lvl w:ilvl="0" w:tplc="98BAB51C">
      <w:start w:val="1"/>
      <w:numFmt w:val="decimal"/>
      <w:lvlText w:val="%1."/>
      <w:lvlJc w:val="left"/>
      <w:pPr>
        <w:ind w:left="720" w:hanging="360"/>
      </w:pPr>
    </w:lvl>
    <w:lvl w:ilvl="1" w:tplc="8E528230">
      <w:start w:val="1"/>
      <w:numFmt w:val="lowerLetter"/>
      <w:lvlText w:val="%2."/>
      <w:lvlJc w:val="left"/>
      <w:pPr>
        <w:ind w:left="1440" w:hanging="360"/>
      </w:pPr>
    </w:lvl>
    <w:lvl w:ilvl="2" w:tplc="F06A9C56">
      <w:start w:val="1"/>
      <w:numFmt w:val="lowerRoman"/>
      <w:lvlText w:val="%3."/>
      <w:lvlJc w:val="right"/>
      <w:pPr>
        <w:ind w:left="2160" w:hanging="180"/>
      </w:pPr>
    </w:lvl>
    <w:lvl w:ilvl="3" w:tplc="FB78DF8E">
      <w:start w:val="1"/>
      <w:numFmt w:val="decimal"/>
      <w:lvlText w:val="%4."/>
      <w:lvlJc w:val="left"/>
      <w:pPr>
        <w:ind w:left="2880" w:hanging="360"/>
      </w:pPr>
    </w:lvl>
    <w:lvl w:ilvl="4" w:tplc="E572F04A">
      <w:start w:val="1"/>
      <w:numFmt w:val="lowerLetter"/>
      <w:lvlText w:val="%5."/>
      <w:lvlJc w:val="left"/>
      <w:pPr>
        <w:ind w:left="3600" w:hanging="360"/>
      </w:pPr>
    </w:lvl>
    <w:lvl w:ilvl="5" w:tplc="0AB056CA">
      <w:start w:val="1"/>
      <w:numFmt w:val="lowerRoman"/>
      <w:lvlText w:val="%6."/>
      <w:lvlJc w:val="right"/>
      <w:pPr>
        <w:ind w:left="4320" w:hanging="180"/>
      </w:pPr>
    </w:lvl>
    <w:lvl w:ilvl="6" w:tplc="F8428CD6">
      <w:start w:val="1"/>
      <w:numFmt w:val="decimal"/>
      <w:lvlText w:val="%7."/>
      <w:lvlJc w:val="left"/>
      <w:pPr>
        <w:ind w:left="5040" w:hanging="360"/>
      </w:pPr>
    </w:lvl>
    <w:lvl w:ilvl="7" w:tplc="8966792A">
      <w:start w:val="1"/>
      <w:numFmt w:val="lowerLetter"/>
      <w:lvlText w:val="%8."/>
      <w:lvlJc w:val="left"/>
      <w:pPr>
        <w:ind w:left="5760" w:hanging="360"/>
      </w:pPr>
    </w:lvl>
    <w:lvl w:ilvl="8" w:tplc="BFCA4E50">
      <w:start w:val="1"/>
      <w:numFmt w:val="lowerRoman"/>
      <w:lvlText w:val="%9."/>
      <w:lvlJc w:val="right"/>
      <w:pPr>
        <w:ind w:left="6480" w:hanging="180"/>
      </w:pPr>
    </w:lvl>
  </w:abstractNum>
  <w:abstractNum w:abstractNumId="17" w15:restartNumberingAfterBreak="0">
    <w:nsid w:val="7B100362"/>
    <w:multiLevelType w:val="hybridMultilevel"/>
    <w:tmpl w:val="FFFFFFFF"/>
    <w:lvl w:ilvl="0" w:tplc="AA261492">
      <w:start w:val="1"/>
      <w:numFmt w:val="decimal"/>
      <w:lvlText w:val="%1."/>
      <w:lvlJc w:val="left"/>
      <w:pPr>
        <w:ind w:left="720" w:hanging="360"/>
      </w:pPr>
    </w:lvl>
    <w:lvl w:ilvl="1" w:tplc="9F841C02">
      <w:start w:val="1"/>
      <w:numFmt w:val="lowerLetter"/>
      <w:lvlText w:val="%2."/>
      <w:lvlJc w:val="left"/>
      <w:pPr>
        <w:ind w:left="1440" w:hanging="360"/>
      </w:pPr>
    </w:lvl>
    <w:lvl w:ilvl="2" w:tplc="F44E1B3A">
      <w:start w:val="1"/>
      <w:numFmt w:val="lowerRoman"/>
      <w:lvlText w:val="%3."/>
      <w:lvlJc w:val="right"/>
      <w:pPr>
        <w:ind w:left="2160" w:hanging="180"/>
      </w:pPr>
    </w:lvl>
    <w:lvl w:ilvl="3" w:tplc="08FABB9E">
      <w:start w:val="1"/>
      <w:numFmt w:val="decimal"/>
      <w:lvlText w:val="%4."/>
      <w:lvlJc w:val="left"/>
      <w:pPr>
        <w:ind w:left="2880" w:hanging="360"/>
      </w:pPr>
    </w:lvl>
    <w:lvl w:ilvl="4" w:tplc="3F4804B4">
      <w:start w:val="1"/>
      <w:numFmt w:val="lowerLetter"/>
      <w:lvlText w:val="%5."/>
      <w:lvlJc w:val="left"/>
      <w:pPr>
        <w:ind w:left="3600" w:hanging="360"/>
      </w:pPr>
    </w:lvl>
    <w:lvl w:ilvl="5" w:tplc="BE787C5A">
      <w:start w:val="1"/>
      <w:numFmt w:val="lowerRoman"/>
      <w:lvlText w:val="%6."/>
      <w:lvlJc w:val="right"/>
      <w:pPr>
        <w:ind w:left="4320" w:hanging="180"/>
      </w:pPr>
    </w:lvl>
    <w:lvl w:ilvl="6" w:tplc="1B5CDDC2">
      <w:start w:val="1"/>
      <w:numFmt w:val="decimal"/>
      <w:lvlText w:val="%7."/>
      <w:lvlJc w:val="left"/>
      <w:pPr>
        <w:ind w:left="5040" w:hanging="360"/>
      </w:pPr>
    </w:lvl>
    <w:lvl w:ilvl="7" w:tplc="E2521510">
      <w:start w:val="1"/>
      <w:numFmt w:val="lowerLetter"/>
      <w:lvlText w:val="%8."/>
      <w:lvlJc w:val="left"/>
      <w:pPr>
        <w:ind w:left="5760" w:hanging="360"/>
      </w:pPr>
    </w:lvl>
    <w:lvl w:ilvl="8" w:tplc="7ABE5BA8">
      <w:start w:val="1"/>
      <w:numFmt w:val="lowerRoman"/>
      <w:lvlText w:val="%9."/>
      <w:lvlJc w:val="right"/>
      <w:pPr>
        <w:ind w:left="6480" w:hanging="180"/>
      </w:pPr>
    </w:lvl>
  </w:abstractNum>
  <w:num w:numId="37">
    <w:abstractNumId w:val="35"/>
  </w:num>
  <w:num w:numId="36">
    <w:abstractNumId w:val="34"/>
  </w:num>
  <w:num w:numId="35">
    <w:abstractNumId w:val="33"/>
  </w:num>
  <w:num w:numId="34">
    <w:abstractNumId w:val="32"/>
  </w:num>
  <w:num w:numId="33">
    <w:abstractNumId w:val="31"/>
  </w:num>
  <w:num w:numId="32">
    <w:abstractNumId w:val="30"/>
  </w:num>
  <w:num w:numId="31">
    <w:abstractNumId w:val="29"/>
  </w:num>
  <w:num w:numId="30">
    <w:abstractNumId w:val="28"/>
  </w:num>
  <w:num w:numId="29">
    <w:abstractNumId w:val="27"/>
  </w:num>
  <w:num w:numId="28">
    <w:abstractNumId w:val="26"/>
  </w:num>
  <w:num w:numId="27">
    <w:abstractNumId w:val="25"/>
  </w:num>
  <w:num w:numId="26">
    <w:abstractNumId w:val="24"/>
  </w:num>
  <w:num w:numId="25">
    <w:abstractNumId w:val="23"/>
  </w:num>
  <w:num w:numId="24">
    <w:abstractNumId w:val="22"/>
  </w:num>
  <w:num w:numId="23">
    <w:abstractNumId w:val="21"/>
  </w:num>
  <w:num w:numId="22">
    <w:abstractNumId w:val="20"/>
  </w:num>
  <w:num w:numId="21">
    <w:abstractNumId w:val="19"/>
  </w:num>
  <w:num w:numId="20">
    <w:abstractNumId w:val="18"/>
  </w:num>
  <w:num w:numId="1" w16cid:durableId="1057703414">
    <w:abstractNumId w:val="0"/>
  </w:num>
  <w:num w:numId="2" w16cid:durableId="109977936">
    <w:abstractNumId w:val="11"/>
  </w:num>
  <w:num w:numId="3" w16cid:durableId="1135365842">
    <w:abstractNumId w:val="2"/>
  </w:num>
  <w:num w:numId="4" w16cid:durableId="1237475581">
    <w:abstractNumId w:val="1"/>
  </w:num>
  <w:num w:numId="5" w16cid:durableId="159778252">
    <w:abstractNumId w:val="3"/>
  </w:num>
  <w:num w:numId="6" w16cid:durableId="1624313189">
    <w:abstractNumId w:val="13"/>
  </w:num>
  <w:num w:numId="7" w16cid:durableId="1701280200">
    <w:abstractNumId w:val="14"/>
  </w:num>
  <w:num w:numId="8" w16cid:durableId="1810783234">
    <w:abstractNumId w:val="7"/>
  </w:num>
  <w:num w:numId="9" w16cid:durableId="1824158055">
    <w:abstractNumId w:val="6"/>
  </w:num>
  <w:num w:numId="10" w16cid:durableId="1946618582">
    <w:abstractNumId w:val="9"/>
  </w:num>
  <w:num w:numId="11" w16cid:durableId="221865642">
    <w:abstractNumId w:val="16"/>
  </w:num>
  <w:num w:numId="12" w16cid:durableId="35083186">
    <w:abstractNumId w:val="10"/>
  </w:num>
  <w:num w:numId="13" w16cid:durableId="39986238">
    <w:abstractNumId w:val="5"/>
  </w:num>
  <w:num w:numId="14" w16cid:durableId="453256688">
    <w:abstractNumId w:val="12"/>
  </w:num>
  <w:num w:numId="15" w16cid:durableId="524831641">
    <w:abstractNumId w:val="8"/>
  </w:num>
  <w:num w:numId="16" w16cid:durableId="546457742">
    <w:abstractNumId w:val="15"/>
  </w:num>
  <w:num w:numId="17" w16cid:durableId="701055354">
    <w:abstractNumId w:val="17"/>
  </w:num>
  <w:num w:numId="18" w16cid:durableId="847478229">
    <w:abstractNumId w:val="7"/>
  </w:num>
  <w:num w:numId="19" w16cid:durableId="995915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E11"/>
    <w:rsid w:val="0015074B"/>
    <w:rsid w:val="00253FC2"/>
    <w:rsid w:val="0029639D"/>
    <w:rsid w:val="00326F90"/>
    <w:rsid w:val="005131A6"/>
    <w:rsid w:val="005311C6"/>
    <w:rsid w:val="006D443C"/>
    <w:rsid w:val="00AA1D8D"/>
    <w:rsid w:val="00B47730"/>
    <w:rsid w:val="00C62D20"/>
    <w:rsid w:val="00CB0664"/>
    <w:rsid w:val="00CD28CC"/>
    <w:rsid w:val="00D76BC8"/>
    <w:rsid w:val="00E26196"/>
    <w:rsid w:val="00EA5D97"/>
    <w:rsid w:val="00F15596"/>
    <w:rsid w:val="00FC693F"/>
    <w:rsid w:val="018C1BB7"/>
    <w:rsid w:val="0193B2AA"/>
    <w:rsid w:val="01FA8911"/>
    <w:rsid w:val="03829CC7"/>
    <w:rsid w:val="064A368B"/>
    <w:rsid w:val="08136C13"/>
    <w:rsid w:val="08328D5C"/>
    <w:rsid w:val="0A7C4E4B"/>
    <w:rsid w:val="0AB7903B"/>
    <w:rsid w:val="0B30317D"/>
    <w:rsid w:val="0CA137F2"/>
    <w:rsid w:val="0CC466A1"/>
    <w:rsid w:val="0D4F21B4"/>
    <w:rsid w:val="0DE738A2"/>
    <w:rsid w:val="0EBEC655"/>
    <w:rsid w:val="1003FF39"/>
    <w:rsid w:val="101EA57C"/>
    <w:rsid w:val="1043DE70"/>
    <w:rsid w:val="14CC1E66"/>
    <w:rsid w:val="1515A024"/>
    <w:rsid w:val="1700B60A"/>
    <w:rsid w:val="196AD0F3"/>
    <w:rsid w:val="1B133EA8"/>
    <w:rsid w:val="1BAFA681"/>
    <w:rsid w:val="1C5C5173"/>
    <w:rsid w:val="1CEE97A7"/>
    <w:rsid w:val="1DE3DAE7"/>
    <w:rsid w:val="1E237713"/>
    <w:rsid w:val="1E761397"/>
    <w:rsid w:val="1FEB030D"/>
    <w:rsid w:val="20F082C3"/>
    <w:rsid w:val="21C3705C"/>
    <w:rsid w:val="223E2588"/>
    <w:rsid w:val="2316CEC9"/>
    <w:rsid w:val="258CD858"/>
    <w:rsid w:val="25C0F9EE"/>
    <w:rsid w:val="261FCBE0"/>
    <w:rsid w:val="28D69E6D"/>
    <w:rsid w:val="294D1A5E"/>
    <w:rsid w:val="2A35AE2B"/>
    <w:rsid w:val="2A626907"/>
    <w:rsid w:val="2A813C1E"/>
    <w:rsid w:val="2BDE5436"/>
    <w:rsid w:val="2CC19DE1"/>
    <w:rsid w:val="2E9D8668"/>
    <w:rsid w:val="2EA90112"/>
    <w:rsid w:val="2F3501E8"/>
    <w:rsid w:val="321451C7"/>
    <w:rsid w:val="322D6EB2"/>
    <w:rsid w:val="3270F69E"/>
    <w:rsid w:val="33136379"/>
    <w:rsid w:val="3406D49D"/>
    <w:rsid w:val="35260BBD"/>
    <w:rsid w:val="35FC4D86"/>
    <w:rsid w:val="3765CEF6"/>
    <w:rsid w:val="37B889D1"/>
    <w:rsid w:val="37BD62CD"/>
    <w:rsid w:val="39D2DC8B"/>
    <w:rsid w:val="39E44BB1"/>
    <w:rsid w:val="3B2D3027"/>
    <w:rsid w:val="3C59474B"/>
    <w:rsid w:val="3F5691FF"/>
    <w:rsid w:val="403C7B08"/>
    <w:rsid w:val="41DE17B6"/>
    <w:rsid w:val="45DAB9F9"/>
    <w:rsid w:val="466DFAA8"/>
    <w:rsid w:val="471B565D"/>
    <w:rsid w:val="479778D2"/>
    <w:rsid w:val="49813EF4"/>
    <w:rsid w:val="4BF5C07F"/>
    <w:rsid w:val="4EFE7ACF"/>
    <w:rsid w:val="4F653367"/>
    <w:rsid w:val="4FD637F0"/>
    <w:rsid w:val="4FDD6388"/>
    <w:rsid w:val="5075D582"/>
    <w:rsid w:val="50CA3E86"/>
    <w:rsid w:val="50CC5AD7"/>
    <w:rsid w:val="525BA017"/>
    <w:rsid w:val="53258F9E"/>
    <w:rsid w:val="5491B512"/>
    <w:rsid w:val="577B1BB5"/>
    <w:rsid w:val="577DCC93"/>
    <w:rsid w:val="59070130"/>
    <w:rsid w:val="5CFF155E"/>
    <w:rsid w:val="5D146591"/>
    <w:rsid w:val="5D75C3C9"/>
    <w:rsid w:val="5E63F0C0"/>
    <w:rsid w:val="6149163D"/>
    <w:rsid w:val="61C9A4A8"/>
    <w:rsid w:val="62898BF1"/>
    <w:rsid w:val="633D3927"/>
    <w:rsid w:val="635D75D6"/>
    <w:rsid w:val="636AD110"/>
    <w:rsid w:val="64A26676"/>
    <w:rsid w:val="6516C5DD"/>
    <w:rsid w:val="656BA8E8"/>
    <w:rsid w:val="65B198CF"/>
    <w:rsid w:val="666926A7"/>
    <w:rsid w:val="666F6BE4"/>
    <w:rsid w:val="671B76C0"/>
    <w:rsid w:val="678000CA"/>
    <w:rsid w:val="6978F43E"/>
    <w:rsid w:val="69950764"/>
    <w:rsid w:val="6B7A3434"/>
    <w:rsid w:val="6CBDDA45"/>
    <w:rsid w:val="6DFAE6B3"/>
    <w:rsid w:val="6E191823"/>
    <w:rsid w:val="6FC6D30C"/>
    <w:rsid w:val="711F46FF"/>
    <w:rsid w:val="72300A29"/>
    <w:rsid w:val="7258CCCA"/>
    <w:rsid w:val="72D59E08"/>
    <w:rsid w:val="7598A41A"/>
    <w:rsid w:val="77152DD8"/>
    <w:rsid w:val="78B5EEA3"/>
    <w:rsid w:val="78FF3DF0"/>
    <w:rsid w:val="7A1DEF95"/>
    <w:rsid w:val="7C46C48B"/>
    <w:rsid w:val="7C4E3CBD"/>
    <w:rsid w:val="7CF1179D"/>
    <w:rsid w:val="7EC2786E"/>
    <w:rsid w:val="7F93C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62061"/>
  <w14:defaultImageDpi w14:val="300"/>
  <w15:docId w15:val="{2BABFC2A-A95A-4462-AFC6-3D013358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6DFAE6B3"/>
    <w:pPr>
      <w:spacing w:after="120"/>
    </w:pPr>
    <w:rPr>
      <w:rFonts w:ascii="Calibri" w:hAnsi="Calibri"/>
      <w:lang w:val="nl-BE"/>
    </w:rPr>
  </w:style>
  <w:style w:type="paragraph" w:styleId="Heading1">
    <w:name w:val="heading 1"/>
    <w:basedOn w:val="Normal"/>
    <w:next w:val="Normal"/>
    <w:link w:val="Heading1Char"/>
    <w:uiPriority w:val="9"/>
    <w:qFormat/>
    <w:rsid w:val="6DFAE6B3"/>
    <w:pPr>
      <w:keepNext/>
      <w:keepLines/>
      <w:spacing w:before="480" w:after="240"/>
      <w:outlineLvl w:val="0"/>
    </w:pPr>
    <w:rPr>
      <w:rFonts w:asciiTheme="majorHAnsi" w:hAnsiTheme="majorHAnsi" w:eastAsiaTheme="majorEastAsia" w:cstheme="majorBidi"/>
      <w:b/>
      <w:bCs/>
      <w:color w:val="1F3864"/>
      <w:sz w:val="36"/>
      <w:szCs w:val="36"/>
    </w:rPr>
  </w:style>
  <w:style w:type="paragraph" w:styleId="Heading2">
    <w:name w:val="heading 2"/>
    <w:basedOn w:val="Normal"/>
    <w:next w:val="Normal"/>
    <w:link w:val="Heading2Char"/>
    <w:uiPriority w:val="9"/>
    <w:unhideWhenUsed/>
    <w:qFormat/>
    <w:rsid w:val="6DFAE6B3"/>
    <w:pPr>
      <w:keepNext/>
      <w:keepLines/>
      <w:spacing w:before="360" w:after="160"/>
      <w:outlineLvl w:val="1"/>
    </w:pPr>
    <w:rPr>
      <w:rFonts w:asciiTheme="majorHAnsi" w:hAnsiTheme="majorHAnsi" w:eastAsiaTheme="majorEastAsia" w:cstheme="majorBidi"/>
      <w:b/>
      <w:bCs/>
      <w:color w:val="1F3864"/>
      <w:sz w:val="28"/>
      <w:szCs w:val="28"/>
    </w:rPr>
  </w:style>
  <w:style w:type="paragraph" w:styleId="Heading3">
    <w:name w:val="heading 3"/>
    <w:basedOn w:val="Normal"/>
    <w:next w:val="Normal"/>
    <w:link w:val="Heading3Char"/>
    <w:uiPriority w:val="9"/>
    <w:unhideWhenUsed/>
    <w:qFormat/>
    <w:rsid w:val="6DFAE6B3"/>
    <w:pPr>
      <w:keepNext/>
      <w:keepLines/>
      <w:spacing w:before="240"/>
      <w:outlineLvl w:val="2"/>
    </w:pPr>
    <w:rPr>
      <w:rFonts w:asciiTheme="majorHAnsi" w:hAnsiTheme="majorHAnsi" w:eastAsiaTheme="majorEastAsia" w:cstheme="majorBidi"/>
      <w:b/>
      <w:bCs/>
      <w:color w:val="1F3864"/>
      <w:sz w:val="24"/>
      <w:szCs w:val="24"/>
    </w:rPr>
  </w:style>
  <w:style w:type="paragraph" w:styleId="Heading4">
    <w:name w:val="heading 4"/>
    <w:basedOn w:val="Normal"/>
    <w:next w:val="Normal"/>
    <w:link w:val="Heading4Char"/>
    <w:uiPriority w:val="9"/>
    <w:semiHidden/>
    <w:unhideWhenUsed/>
    <w:qFormat/>
    <w:rsid w:val="6DFAE6B3"/>
    <w:pPr>
      <w:keepNext/>
      <w:keepLines/>
      <w:spacing w:before="200" w:after="80"/>
      <w:outlineLvl w:val="3"/>
    </w:pPr>
    <w:rPr>
      <w:rFonts w:asciiTheme="majorHAnsi" w:hAnsiTheme="majorHAnsi" w:eastAsiaTheme="majorEastAsia" w:cstheme="majorBidi"/>
      <w:b/>
      <w:bCs/>
      <w:i/>
      <w:iCs/>
      <w:color w:val="1F3864"/>
    </w:rPr>
  </w:style>
  <w:style w:type="paragraph" w:styleId="Heading5">
    <w:name w:val="heading 5"/>
    <w:basedOn w:val="Normal"/>
    <w:next w:val="Normal"/>
    <w:link w:val="Heading5Char"/>
    <w:uiPriority w:val="9"/>
    <w:semiHidden/>
    <w:unhideWhenUsed/>
    <w:qFormat/>
    <w:rsid w:val="6DFAE6B3"/>
    <w:pPr>
      <w:keepNext/>
      <w:keepLines/>
      <w:spacing w:before="200" w:after="0"/>
      <w:outlineLvl w:val="4"/>
    </w:pPr>
    <w:rPr>
      <w:rFonts w:asciiTheme="majorHAnsi" w:hAnsiTheme="majorHAnsi" w:eastAsiaTheme="majorEastAsia" w:cstheme="majorBidi"/>
      <w:color w:val="243F60"/>
    </w:rPr>
  </w:style>
  <w:style w:type="paragraph" w:styleId="Heading6">
    <w:name w:val="heading 6"/>
    <w:basedOn w:val="Normal"/>
    <w:next w:val="Normal"/>
    <w:link w:val="Heading6Char"/>
    <w:uiPriority w:val="9"/>
    <w:semiHidden/>
    <w:unhideWhenUsed/>
    <w:qFormat/>
    <w:rsid w:val="6DFAE6B3"/>
    <w:pPr>
      <w:keepNext/>
      <w:keepLines/>
      <w:spacing w:before="200" w:after="0"/>
      <w:outlineLvl w:val="5"/>
    </w:pPr>
    <w:rPr>
      <w:rFonts w:asciiTheme="majorHAnsi" w:hAnsiTheme="majorHAnsi" w:eastAsiaTheme="majorEastAsia" w:cstheme="majorBidi"/>
      <w:i/>
      <w:iCs/>
      <w:color w:val="243F60"/>
    </w:rPr>
  </w:style>
  <w:style w:type="paragraph" w:styleId="Heading7">
    <w:name w:val="heading 7"/>
    <w:basedOn w:val="Normal"/>
    <w:next w:val="Normal"/>
    <w:link w:val="Heading7Char"/>
    <w:uiPriority w:val="9"/>
    <w:semiHidden/>
    <w:unhideWhenUsed/>
    <w:qFormat/>
    <w:rsid w:val="6DFAE6B3"/>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6DFAE6B3"/>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6DFAE6B3"/>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6DFAE6B3"/>
    <w:pPr>
      <w:tabs>
        <w:tab w:val="center" w:pos="4680"/>
        <w:tab w:val="right" w:pos="9360"/>
      </w:tabs>
      <w:spacing w:after="0"/>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6DFAE6B3"/>
    <w:pPr>
      <w:tabs>
        <w:tab w:val="center" w:pos="4680"/>
        <w:tab w:val="right" w:pos="9360"/>
      </w:tabs>
      <w:spacing w:after="0"/>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6DFAE6B3"/>
    <w:pPr>
      <w:pBdr>
        <w:bottom w:val="single" w:color="4F81BD" w:themeColor="accent1" w:sz="8" w:space="4"/>
      </w:pBdr>
      <w:spacing w:after="300"/>
      <w:contextualSpacing/>
    </w:pPr>
    <w:rPr>
      <w:rFonts w:asciiTheme="majorHAnsi" w:hAnsiTheme="majorHAnsi" w:eastAsiaTheme="majorEastAsia" w:cstheme="majorBidi"/>
      <w:color w:val="17365D" w:themeColor="text2" w:themeShade="BF"/>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6DFAE6B3"/>
    <w:rPr>
      <w:rFonts w:asciiTheme="majorHAnsi" w:hAnsiTheme="majorHAnsi" w:eastAsiaTheme="majorEastAsia" w:cstheme="majorBidi"/>
      <w:i/>
      <w:iCs/>
      <w:color w:val="4F81BD" w:themeColor="accent1"/>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6DFAE6B3"/>
    <w:pPr>
      <w:ind w:left="720"/>
      <w:contextualSpacing/>
    </w:pPr>
  </w:style>
  <w:style w:type="paragraph" w:styleId="BodyText">
    <w:name w:val="Body Text"/>
    <w:basedOn w:val="Normal"/>
    <w:link w:val="BodyTextChar"/>
    <w:uiPriority w:val="99"/>
    <w:unhideWhenUsed/>
    <w:rsid w:val="6DFAE6B3"/>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6DFAE6B3"/>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6DFAE6B3"/>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6DFAE6B3"/>
    <w:pPr>
      <w:ind w:left="360" w:hanging="360"/>
      <w:contextualSpacing/>
    </w:pPr>
  </w:style>
  <w:style w:type="paragraph" w:styleId="List2">
    <w:name w:val="List 2"/>
    <w:basedOn w:val="Normal"/>
    <w:uiPriority w:val="99"/>
    <w:unhideWhenUsed/>
    <w:rsid w:val="6DFAE6B3"/>
    <w:pPr>
      <w:ind w:left="720" w:hanging="360"/>
      <w:contextualSpacing/>
    </w:pPr>
  </w:style>
  <w:style w:type="paragraph" w:styleId="List3">
    <w:name w:val="List 3"/>
    <w:basedOn w:val="Normal"/>
    <w:uiPriority w:val="99"/>
    <w:unhideWhenUsed/>
    <w:rsid w:val="6DFAE6B3"/>
    <w:pPr>
      <w:ind w:left="1080" w:hanging="360"/>
      <w:contextualSpacing/>
    </w:pPr>
  </w:style>
  <w:style w:type="paragraph" w:styleId="ListBullet">
    <w:name w:val="List Bullet"/>
    <w:basedOn w:val="Normal"/>
    <w:uiPriority w:val="99"/>
    <w:unhideWhenUsed/>
    <w:rsid w:val="6DFAE6B3"/>
    <w:pPr>
      <w:numPr>
        <w:numId w:val="15"/>
      </w:numPr>
      <w:contextualSpacing/>
    </w:pPr>
  </w:style>
  <w:style w:type="paragraph" w:styleId="ListBullet2">
    <w:name w:val="List Bullet 2"/>
    <w:basedOn w:val="Normal"/>
    <w:uiPriority w:val="99"/>
    <w:unhideWhenUsed/>
    <w:rsid w:val="6DFAE6B3"/>
    <w:pPr>
      <w:numPr>
        <w:numId w:val="9"/>
      </w:numPr>
      <w:contextualSpacing/>
    </w:pPr>
  </w:style>
  <w:style w:type="paragraph" w:styleId="ListBullet3">
    <w:name w:val="List Bullet 3"/>
    <w:basedOn w:val="Normal"/>
    <w:uiPriority w:val="99"/>
    <w:unhideWhenUsed/>
    <w:rsid w:val="6DFAE6B3"/>
    <w:pPr>
      <w:numPr>
        <w:numId w:val="13"/>
      </w:numPr>
      <w:contextualSpacing/>
    </w:pPr>
  </w:style>
  <w:style w:type="paragraph" w:styleId="ListNumber">
    <w:name w:val="List Number"/>
    <w:basedOn w:val="Normal"/>
    <w:uiPriority w:val="99"/>
    <w:unhideWhenUsed/>
    <w:rsid w:val="6DFAE6B3"/>
    <w:pPr>
      <w:numPr>
        <w:numId w:val="8"/>
      </w:numPr>
      <w:contextualSpacing/>
    </w:pPr>
  </w:style>
  <w:style w:type="paragraph" w:styleId="ListNumber2">
    <w:name w:val="List Number 2"/>
    <w:basedOn w:val="Normal"/>
    <w:uiPriority w:val="99"/>
    <w:unhideWhenUsed/>
    <w:rsid w:val="6DFAE6B3"/>
    <w:pPr>
      <w:numPr>
        <w:numId w:val="5"/>
      </w:numPr>
      <w:contextualSpacing/>
    </w:pPr>
  </w:style>
  <w:style w:type="paragraph" w:styleId="ListNumber3">
    <w:name w:val="List Number 3"/>
    <w:basedOn w:val="Normal"/>
    <w:uiPriority w:val="99"/>
    <w:unhideWhenUsed/>
    <w:rsid w:val="6DFAE6B3"/>
    <w:pPr>
      <w:numPr>
        <w:numId w:val="3"/>
      </w:numPr>
      <w:contextualSpacing/>
    </w:pPr>
  </w:style>
  <w:style w:type="paragraph" w:styleId="ListContinue">
    <w:name w:val="List Continue"/>
    <w:basedOn w:val="Normal"/>
    <w:uiPriority w:val="99"/>
    <w:unhideWhenUsed/>
    <w:rsid w:val="6DFAE6B3"/>
    <w:pPr>
      <w:ind w:left="360"/>
      <w:contextualSpacing/>
    </w:pPr>
  </w:style>
  <w:style w:type="paragraph" w:styleId="ListContinue2">
    <w:name w:val="List Continue 2"/>
    <w:basedOn w:val="Normal"/>
    <w:uiPriority w:val="99"/>
    <w:unhideWhenUsed/>
    <w:rsid w:val="6DFAE6B3"/>
    <w:pPr>
      <w:ind w:left="720"/>
      <w:contextualSpacing/>
    </w:pPr>
  </w:style>
  <w:style w:type="paragraph" w:styleId="ListContinue3">
    <w:name w:val="List Continue 3"/>
    <w:basedOn w:val="Normal"/>
    <w:uiPriority w:val="99"/>
    <w:unhideWhenUsed/>
    <w:rsid w:val="6DFAE6B3"/>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6DFAE6B3"/>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6DFAE6B3"/>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6DFAE6B3"/>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archief.algemeen.omgeving.vlaanderen.be/xmlui/bitstream/handle/acd/928122/06072023_Rapport_Validatie_ELF_model.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Heidi Deleu</lastModifiedBy>
  <revision>5</revision>
  <dcterms:created xsi:type="dcterms:W3CDTF">2013-12-23T23:15:00.0000000Z</dcterms:created>
  <dcterms:modified xsi:type="dcterms:W3CDTF">2026-02-22T19:12:52.7996103Z</dcterms:modified>
  <category/>
</coreProperties>
</file>